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rPr>
        <w:t>岳阳市文学艺术研究所</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rPr>
          <w:b/>
          <w:sz w:val="36"/>
          <w:szCs w:val="28"/>
        </w:rPr>
      </w:pPr>
      <w:r>
        <w:rPr>
          <w:rFonts w:hint="eastAsia"/>
          <w:sz w:val="56"/>
          <w:szCs w:val="56"/>
        </w:rPr>
        <w:t xml:space="preserve">                </w:t>
      </w:r>
      <w:r>
        <w:rPr>
          <w:rFonts w:hint="eastAsia"/>
          <w:b/>
          <w:sz w:val="36"/>
          <w:szCs w:val="28"/>
        </w:rPr>
        <w:t>目   录</w:t>
      </w:r>
    </w:p>
    <w:p>
      <w:pPr>
        <w:pStyle w:val="9"/>
        <w:spacing w:line="500" w:lineRule="exact"/>
        <w:rPr>
          <w:rFonts w:ascii="仿宋_GB2312" w:hAnsi="仿宋_GB2312" w:cs="仿宋_GB2312"/>
          <w:b/>
          <w:sz w:val="28"/>
          <w:szCs w:val="28"/>
        </w:rPr>
      </w:pPr>
      <w:r>
        <w:rPr>
          <w:rFonts w:hint="eastAsia"/>
          <w:b/>
          <w:sz w:val="28"/>
          <w:szCs w:val="28"/>
        </w:rPr>
        <w:t>第一部分岳阳市文学艺术研究所单位概况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pStyle w:val="9"/>
        <w:rPr>
          <w:rFonts w:asciiTheme="minorHAnsi" w:eastAsiaTheme="minorEastAsia" w:cstheme="minorBidi"/>
          <w:color w:val="auto"/>
          <w:kern w:val="2"/>
          <w:sz w:val="72"/>
          <w:szCs w:val="72"/>
        </w:rPr>
      </w:pPr>
      <w:r>
        <w:rPr>
          <w:rFonts w:hint="eastAsia" w:asciiTheme="minorHAnsi" w:eastAsiaTheme="minorEastAsia" w:cstheme="minorBidi"/>
          <w:color w:val="auto"/>
          <w:kern w:val="2"/>
          <w:sz w:val="72"/>
          <w:szCs w:val="72"/>
        </w:rPr>
        <w:t xml:space="preserve">          </w:t>
      </w: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r>
        <w:rPr>
          <w:rFonts w:hint="eastAsia" w:asciiTheme="minorHAnsi" w:eastAsiaTheme="minorEastAsia" w:cstheme="minorBidi"/>
          <w:color w:val="auto"/>
          <w:kern w:val="2"/>
          <w:sz w:val="72"/>
          <w:szCs w:val="72"/>
        </w:rPr>
        <w:t xml:space="preserve">        </w:t>
      </w: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jc w:val="center"/>
        <w:rPr>
          <w:sz w:val="84"/>
          <w:szCs w:val="84"/>
        </w:rPr>
      </w:pPr>
      <w:r>
        <w:rPr>
          <w:rFonts w:hint="eastAsia"/>
          <w:sz w:val="84"/>
          <w:szCs w:val="84"/>
        </w:rPr>
        <w:t>第一部分</w:t>
      </w:r>
    </w:p>
    <w:p>
      <w:pPr>
        <w:pStyle w:val="9"/>
        <w:jc w:val="center"/>
        <w:rPr>
          <w:sz w:val="84"/>
          <w:szCs w:val="84"/>
        </w:rPr>
      </w:pPr>
    </w:p>
    <w:p>
      <w:pPr>
        <w:pStyle w:val="9"/>
        <w:jc w:val="center"/>
        <w:rPr>
          <w:sz w:val="84"/>
          <w:szCs w:val="84"/>
        </w:rPr>
      </w:pPr>
      <w:r>
        <w:rPr>
          <w:rFonts w:hint="eastAsia"/>
          <w:sz w:val="84"/>
          <w:szCs w:val="84"/>
        </w:rPr>
        <w:t>岳阳市文学艺术研究所</w:t>
      </w:r>
    </w:p>
    <w:p>
      <w:pPr>
        <w:pStyle w:val="9"/>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（一）负责为专业艺术表演团体提供戏曲台本、舞美设计，并为其舞台剧本作曲、配器、指挥。</w:t>
      </w:r>
    </w:p>
    <w:p>
      <w:pPr>
        <w:ind w:firstLine="800" w:firstLineChars="250"/>
        <w:jc w:val="left"/>
        <w:rPr>
          <w:rFonts w:asciiTheme="minorEastAsia" w:hAnsiTheme="minorEastAsia"/>
          <w:sz w:val="32"/>
          <w:szCs w:val="32"/>
        </w:rPr>
      </w:pPr>
      <w:r>
        <w:rPr>
          <w:rFonts w:hint="eastAsia" w:asciiTheme="minorEastAsia" w:hAnsiTheme="minorEastAsia"/>
          <w:sz w:val="32"/>
          <w:szCs w:val="32"/>
        </w:rPr>
        <w:t>（二）负责为专业艺术团体实施二度创作。</w:t>
      </w:r>
    </w:p>
    <w:p>
      <w:pPr>
        <w:ind w:firstLine="800" w:firstLineChars="250"/>
        <w:jc w:val="left"/>
        <w:rPr>
          <w:rFonts w:asciiTheme="minorEastAsia" w:hAnsiTheme="minorEastAsia"/>
          <w:sz w:val="32"/>
          <w:szCs w:val="32"/>
        </w:rPr>
      </w:pPr>
      <w:r>
        <w:rPr>
          <w:rFonts w:hint="eastAsia" w:asciiTheme="minorEastAsia" w:hAnsiTheme="minorEastAsia"/>
          <w:sz w:val="32"/>
          <w:szCs w:val="32"/>
        </w:rPr>
        <w:t>（三）负责地方剧种音乐的收集、整理。</w:t>
      </w:r>
    </w:p>
    <w:p>
      <w:pPr>
        <w:ind w:firstLine="800" w:firstLineChars="250"/>
        <w:jc w:val="left"/>
        <w:rPr>
          <w:rFonts w:asciiTheme="minorEastAsia" w:hAnsiTheme="minorEastAsia"/>
          <w:sz w:val="32"/>
          <w:szCs w:val="32"/>
        </w:rPr>
      </w:pPr>
      <w:r>
        <w:rPr>
          <w:rFonts w:hint="eastAsia" w:asciiTheme="minorEastAsia" w:hAnsiTheme="minorEastAsia"/>
          <w:sz w:val="32"/>
          <w:szCs w:val="32"/>
        </w:rPr>
        <w:t>（四）完成市文化局交办的其他工作。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（一）内设机构设置。岳阳市文学艺术研究所无内设机构。</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（二）决算单位构成。岳阳市文学艺术研究所</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     单位构成包括：岳阳市文学艺术研究所。</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headerReference r:id="rId3" w:type="default"/>
          <w:footerReference r:id="rId4" w:type="default"/>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岳阳市文学艺术研究所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96.10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213.94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114.70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10.87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九、卫生健康支出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2.94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84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47</w:t>
            </w:r>
          </w:p>
        </w:tc>
        <w:tc>
          <w:tcPr>
            <w:tcW w:w="363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84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48</w:t>
            </w:r>
          </w:p>
        </w:tc>
        <w:tc>
          <w:tcPr>
            <w:tcW w:w="363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210.80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ind w:firstLine="2750" w:firstLineChars="1250"/>
              <w:jc w:val="right"/>
              <w:rPr>
                <w:rFonts w:ascii="宋体" w:hAnsi="宋体" w:eastAsia="宋体" w:cs="宋体"/>
                <w:kern w:val="0"/>
                <w:sz w:val="22"/>
              </w:rPr>
            </w:pPr>
            <w:r>
              <w:rPr>
                <w:rFonts w:hint="eastAsia" w:ascii="宋体" w:hAnsi="宋体" w:eastAsia="宋体" w:cs="宋体"/>
                <w:kern w:val="0"/>
                <w:sz w:val="22"/>
              </w:rPr>
              <w:t>227.76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16.35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0.61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ind w:firstLine="2970" w:firstLineChars="1350"/>
              <w:jc w:val="right"/>
              <w:rPr>
                <w:rFonts w:ascii="宋体" w:hAnsi="宋体" w:eastAsia="宋体" w:cs="宋体"/>
                <w:kern w:val="0"/>
                <w:sz w:val="22"/>
              </w:rPr>
            </w:pPr>
            <w:r>
              <w:rPr>
                <w:rFonts w:hint="eastAsia" w:ascii="宋体" w:hAnsi="宋体" w:eastAsia="宋体" w:cs="宋体"/>
                <w:kern w:val="0"/>
                <w:sz w:val="22"/>
              </w:rPr>
              <w:t>0.01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227.76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ind w:firstLine="2640" w:firstLineChars="1200"/>
              <w:jc w:val="right"/>
              <w:rPr>
                <w:rFonts w:ascii="宋体" w:hAnsi="宋体" w:eastAsia="宋体" w:cs="宋体"/>
                <w:b/>
                <w:bCs/>
                <w:kern w:val="0"/>
                <w:sz w:val="22"/>
              </w:rPr>
            </w:pPr>
            <w:r>
              <w:rPr>
                <w:rFonts w:hint="eastAsia" w:ascii="宋体" w:hAnsi="宋体" w:eastAsia="宋体" w:cs="宋体"/>
                <w:b/>
                <w:bCs/>
                <w:kern w:val="0"/>
                <w:sz w:val="22"/>
              </w:rPr>
              <w:t>227.76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pPr w:leftFromText="180" w:rightFromText="180" w:vertAnchor="text" w:tblpY="1"/>
        <w:tblOverlap w:val="never"/>
        <w:tblW w:w="15201" w:type="dxa"/>
        <w:tblInd w:w="0" w:type="dxa"/>
        <w:tblLayout w:type="autofit"/>
        <w:tblCellMar>
          <w:top w:w="0" w:type="dxa"/>
          <w:left w:w="0" w:type="dxa"/>
          <w:bottom w:w="0" w:type="dxa"/>
          <w:right w:w="0" w:type="dxa"/>
        </w:tblCellMar>
      </w:tblPr>
      <w:tblGrid>
        <w:gridCol w:w="394"/>
        <w:gridCol w:w="393"/>
        <w:gridCol w:w="5004"/>
        <w:gridCol w:w="1516"/>
        <w:gridCol w:w="1443"/>
        <w:gridCol w:w="1318"/>
        <w:gridCol w:w="1253"/>
        <w:gridCol w:w="1197"/>
        <w:gridCol w:w="1137"/>
        <w:gridCol w:w="1773"/>
      </w:tblGrid>
      <w:tr>
        <w:tblPrEx>
          <w:tblCellMar>
            <w:top w:w="0" w:type="dxa"/>
            <w:left w:w="0" w:type="dxa"/>
            <w:bottom w:w="0" w:type="dxa"/>
            <w:right w:w="0" w:type="dxa"/>
          </w:tblCellMar>
        </w:tblPrEx>
        <w:trPr>
          <w:trHeight w:val="435" w:hRule="atLeast"/>
        </w:trPr>
        <w:tc>
          <w:tcPr>
            <w:tcW w:w="15201"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ind w:right="525"/>
              <w:rPr>
                <w:rFonts w:ascii="宋体" w:hAnsi="宋体" w:eastAsia="宋体" w:cs="宋体"/>
                <w:sz w:val="24"/>
                <w:szCs w:val="24"/>
              </w:rPr>
            </w:pPr>
            <w:r>
              <w:rPr>
                <w:rFonts w:hint="eastAsia"/>
              </w:rPr>
              <w:t>岳阳市文学艺术研究所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58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6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6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38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29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81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77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210.80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96.10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114.70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207</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文化旅游体育与传媒支出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196.98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82.28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114.70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20701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文化和旅游</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196.98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82.28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114.70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2070102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一般行政管理事务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7.60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7.60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2070107</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艺术表演团体</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189.38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74.68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114.70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2070111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文化创作与保护</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10.87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10.87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2070199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其他文化和旅游支出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6.39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6.39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社会保障和就业支出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6.39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6.39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行政事业单位养老支出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4.07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4.07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2080502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事业单位离退休</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4.07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4.07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2080505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机关事业单位基本养老保险缴费支出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0.41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0.41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20808</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抚恤</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0.41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0.41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329"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2080899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其他优抚支出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2.95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2.95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20811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残疾人事业</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2.95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2.95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2081199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其他残疾人事业支出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2.95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2.95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210</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卫生健康支出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47.48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47.48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21011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行政事业单位医疗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47.48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47.48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2101102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47.48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47.48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615" w:hRule="atLeast"/>
        </w:trPr>
        <w:tc>
          <w:tcPr>
            <w:tcW w:w="15201"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textWrapping" w:clear="all"/>
      </w: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31583" w:type="dxa"/>
        <w:tblInd w:w="93" w:type="dxa"/>
        <w:tblLayout w:type="autofit"/>
        <w:tblCellMar>
          <w:top w:w="0" w:type="dxa"/>
          <w:left w:w="108" w:type="dxa"/>
          <w:bottom w:w="0" w:type="dxa"/>
          <w:right w:w="108" w:type="dxa"/>
        </w:tblCellMar>
      </w:tblPr>
      <w:tblGrid>
        <w:gridCol w:w="997"/>
        <w:gridCol w:w="449"/>
        <w:gridCol w:w="222"/>
        <w:gridCol w:w="1249"/>
        <w:gridCol w:w="642"/>
        <w:gridCol w:w="36"/>
        <w:gridCol w:w="436"/>
        <w:gridCol w:w="804"/>
        <w:gridCol w:w="274"/>
        <w:gridCol w:w="496"/>
        <w:gridCol w:w="637"/>
        <w:gridCol w:w="1679"/>
        <w:gridCol w:w="599"/>
        <w:gridCol w:w="632"/>
        <w:gridCol w:w="435"/>
        <w:gridCol w:w="13"/>
        <w:gridCol w:w="1560"/>
        <w:gridCol w:w="337"/>
        <w:gridCol w:w="1057"/>
        <w:gridCol w:w="1033"/>
        <w:gridCol w:w="361"/>
        <w:gridCol w:w="1275"/>
        <w:gridCol w:w="298"/>
        <w:gridCol w:w="156"/>
        <w:gridCol w:w="1182"/>
        <w:gridCol w:w="908"/>
        <w:gridCol w:w="728"/>
        <w:gridCol w:w="1362"/>
        <w:gridCol w:w="274"/>
        <w:gridCol w:w="1636"/>
        <w:gridCol w:w="180"/>
        <w:gridCol w:w="1456"/>
        <w:gridCol w:w="1636"/>
        <w:gridCol w:w="1636"/>
        <w:gridCol w:w="1636"/>
        <w:gridCol w:w="1636"/>
        <w:gridCol w:w="1636"/>
      </w:tblGrid>
      <w:tr>
        <w:tblPrEx>
          <w:tblCellMar>
            <w:top w:w="0" w:type="dxa"/>
            <w:left w:w="108" w:type="dxa"/>
            <w:bottom w:w="0" w:type="dxa"/>
            <w:right w:w="108" w:type="dxa"/>
          </w:tblCellMar>
        </w:tblPrEx>
        <w:trPr>
          <w:gridAfter w:val="17"/>
          <w:wAfter w:w="17996" w:type="dxa"/>
          <w:trHeight w:val="435" w:hRule="atLeast"/>
        </w:trPr>
        <w:tc>
          <w:tcPr>
            <w:tcW w:w="13587" w:type="dxa"/>
            <w:gridSpan w:val="2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gridAfter w:val="17"/>
          <w:wAfter w:w="17996" w:type="dxa"/>
          <w:trHeight w:val="285" w:hRule="atLeast"/>
        </w:trPr>
        <w:tc>
          <w:tcPr>
            <w:tcW w:w="144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18"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0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17"/>
          <w:wAfter w:w="17996" w:type="dxa"/>
          <w:trHeight w:val="285" w:hRule="atLeast"/>
        </w:trPr>
        <w:tc>
          <w:tcPr>
            <w:tcW w:w="4835" w:type="dxa"/>
            <w:gridSpan w:val="8"/>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部门：岳阳市文学艺术研究所</w:t>
            </w:r>
          </w:p>
          <w:p>
            <w:pPr>
              <w:widowControl/>
              <w:jc w:val="right"/>
              <w:rPr>
                <w:rFonts w:ascii="宋体" w:hAnsi="宋体" w:eastAsia="宋体" w:cs="宋体"/>
                <w:kern w:val="0"/>
                <w:sz w:val="24"/>
                <w:szCs w:val="24"/>
              </w:rPr>
            </w:pPr>
          </w:p>
        </w:tc>
        <w:tc>
          <w:tcPr>
            <w:tcW w:w="140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7"/>
          <w:wAfter w:w="17996" w:type="dxa"/>
          <w:trHeight w:val="450" w:hRule="atLeast"/>
        </w:trPr>
        <w:tc>
          <w:tcPr>
            <w:tcW w:w="355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276"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407"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897"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09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After w:val="17"/>
          <w:wAfter w:w="17996" w:type="dxa"/>
          <w:trHeight w:val="450" w:hRule="atLeast"/>
        </w:trPr>
        <w:tc>
          <w:tcPr>
            <w:tcW w:w="1668"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891"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0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7"/>
          <w:wAfter w:w="17996" w:type="dxa"/>
          <w:trHeight w:val="450" w:hRule="atLeast"/>
        </w:trPr>
        <w:tc>
          <w:tcPr>
            <w:tcW w:w="16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0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7"/>
          <w:wAfter w:w="17996" w:type="dxa"/>
          <w:trHeight w:val="450" w:hRule="atLeast"/>
        </w:trPr>
        <w:tc>
          <w:tcPr>
            <w:tcW w:w="3559"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276"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07"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89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09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gridAfter w:val="17"/>
          <w:wAfter w:w="17996" w:type="dxa"/>
          <w:trHeight w:val="450" w:hRule="atLeast"/>
        </w:trPr>
        <w:tc>
          <w:tcPr>
            <w:tcW w:w="3559"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27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227.76　</w:t>
            </w:r>
          </w:p>
        </w:tc>
        <w:tc>
          <w:tcPr>
            <w:tcW w:w="140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119.11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28.65　</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189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209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207</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文化旅游体育与传媒支出</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213.94</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185.30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28.65</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20701</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文化和旅游</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213.94</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185.30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28.65</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2070102</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一般行政管理事务</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7.60</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7.60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2070107</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艺术表演团体</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206.34</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185.30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21.05</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2070111</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文化创作与保护</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10.87</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10.87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2070199</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其他文化和旅游支出</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6.39</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6.39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社会保障和就业支出</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6.39</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6.39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20805</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行政事业单位养老支出</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4.07</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2080502</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事业单位离退休</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4.07</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2080505</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机关事业单位基本养老保险缴费支出</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0.41</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20808</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抚恤</w:t>
            </w:r>
          </w:p>
        </w:tc>
        <w:tc>
          <w:tcPr>
            <w:tcW w:w="1276" w:type="dxa"/>
            <w:gridSpan w:val="3"/>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0.41</w:t>
            </w:r>
          </w:p>
        </w:tc>
        <w:tc>
          <w:tcPr>
            <w:tcW w:w="1407" w:type="dxa"/>
            <w:gridSpan w:val="3"/>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0.41</w:t>
            </w:r>
          </w:p>
        </w:tc>
        <w:tc>
          <w:tcPr>
            <w:tcW w:w="1679"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gridSpan w:val="4"/>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2080899</w:t>
            </w:r>
          </w:p>
        </w:tc>
        <w:tc>
          <w:tcPr>
            <w:tcW w:w="256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其他优抚支出</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2.94</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20811</w:t>
            </w:r>
          </w:p>
        </w:tc>
        <w:tc>
          <w:tcPr>
            <w:tcW w:w="2562" w:type="dxa"/>
            <w:gridSpan w:val="4"/>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残疾人事业</w:t>
            </w:r>
          </w:p>
        </w:tc>
        <w:tc>
          <w:tcPr>
            <w:tcW w:w="1276" w:type="dxa"/>
            <w:gridSpan w:val="3"/>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2.94</w:t>
            </w:r>
          </w:p>
        </w:tc>
        <w:tc>
          <w:tcPr>
            <w:tcW w:w="1407" w:type="dxa"/>
            <w:gridSpan w:val="3"/>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2.94</w:t>
            </w:r>
          </w:p>
        </w:tc>
        <w:tc>
          <w:tcPr>
            <w:tcW w:w="1679"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gridSpan w:val="4"/>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2081199</w:t>
            </w:r>
          </w:p>
        </w:tc>
        <w:tc>
          <w:tcPr>
            <w:tcW w:w="256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其他残疾人事业支出</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2.94</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210</w:t>
            </w:r>
          </w:p>
        </w:tc>
        <w:tc>
          <w:tcPr>
            <w:tcW w:w="256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卫生健康支出</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213.94</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185.30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28.65</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7"/>
          <w:wAfter w:w="1799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21011</w:t>
            </w:r>
          </w:p>
        </w:tc>
        <w:tc>
          <w:tcPr>
            <w:tcW w:w="256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行政事业单位医疗</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213.94</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185.30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28.65</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6"/>
          <w:wAfter w:w="9636" w:type="dxa"/>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2101102</w:t>
            </w:r>
          </w:p>
        </w:tc>
        <w:tc>
          <w:tcPr>
            <w:tcW w:w="256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事业单位医疗</w:t>
            </w:r>
          </w:p>
        </w:tc>
        <w:tc>
          <w:tcPr>
            <w:tcW w:w="127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7.60</w:t>
            </w:r>
          </w:p>
        </w:tc>
        <w:tc>
          <w:tcPr>
            <w:tcW w:w="1407"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7.60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gridSpan w:val="4"/>
            <w:vAlign w:val="center"/>
          </w:tcPr>
          <w:p>
            <w:pPr>
              <w:jc w:val="center"/>
              <w:rPr>
                <w:rFonts w:ascii="宋体" w:hAnsi="宋体" w:eastAsia="宋体" w:cs="Arial"/>
                <w:color w:val="000000"/>
                <w:sz w:val="22"/>
              </w:rPr>
            </w:pPr>
          </w:p>
        </w:tc>
        <w:tc>
          <w:tcPr>
            <w:tcW w:w="2090" w:type="dxa"/>
            <w:gridSpan w:val="2"/>
            <w:vAlign w:val="center"/>
          </w:tcPr>
          <w:p>
            <w:pPr>
              <w:jc w:val="center"/>
              <w:rPr>
                <w:rFonts w:ascii="宋体" w:hAnsi="宋体" w:eastAsia="宋体" w:cs="Arial"/>
                <w:color w:val="000000"/>
                <w:sz w:val="22"/>
              </w:rPr>
            </w:pPr>
          </w:p>
        </w:tc>
        <w:tc>
          <w:tcPr>
            <w:tcW w:w="2090" w:type="dxa"/>
            <w:gridSpan w:val="2"/>
            <w:vAlign w:val="center"/>
          </w:tcPr>
          <w:p>
            <w:pPr>
              <w:jc w:val="center"/>
              <w:rPr>
                <w:rFonts w:ascii="宋体" w:hAnsi="宋体" w:eastAsia="宋体" w:cs="Arial"/>
                <w:color w:val="000000"/>
                <w:sz w:val="22"/>
              </w:rPr>
            </w:pPr>
          </w:p>
        </w:tc>
        <w:tc>
          <w:tcPr>
            <w:tcW w:w="2090" w:type="dxa"/>
            <w:gridSpan w:val="3"/>
            <w:vAlign w:val="center"/>
          </w:tcPr>
          <w:p>
            <w:pPr>
              <w:jc w:val="center"/>
              <w:rPr>
                <w:rFonts w:ascii="宋体" w:hAnsi="宋体" w:eastAsia="宋体" w:cs="Arial"/>
                <w:color w:val="000000"/>
                <w:sz w:val="22"/>
              </w:rPr>
            </w:pPr>
          </w:p>
        </w:tc>
      </w:tr>
      <w:tr>
        <w:tblPrEx>
          <w:tblCellMar>
            <w:top w:w="0" w:type="dxa"/>
            <w:left w:w="108" w:type="dxa"/>
            <w:bottom w:w="0" w:type="dxa"/>
            <w:right w:w="108" w:type="dxa"/>
          </w:tblCellMar>
        </w:tblPrEx>
        <w:trPr>
          <w:trHeight w:val="630" w:hRule="atLeast"/>
        </w:trPr>
        <w:tc>
          <w:tcPr>
            <w:tcW w:w="13587" w:type="dxa"/>
            <w:gridSpan w:val="20"/>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c>
          <w:tcPr>
            <w:tcW w:w="1636" w:type="dxa"/>
            <w:gridSpan w:val="2"/>
          </w:tcPr>
          <w:p>
            <w:pPr>
              <w:widowControl/>
              <w:jc w:val="left"/>
            </w:pPr>
          </w:p>
        </w:tc>
        <w:tc>
          <w:tcPr>
            <w:tcW w:w="1636" w:type="dxa"/>
            <w:gridSpan w:val="3"/>
          </w:tcPr>
          <w:p>
            <w:pPr>
              <w:widowControl/>
              <w:jc w:val="left"/>
            </w:pPr>
          </w:p>
        </w:tc>
        <w:tc>
          <w:tcPr>
            <w:tcW w:w="1636" w:type="dxa"/>
            <w:gridSpan w:val="2"/>
          </w:tcPr>
          <w:p>
            <w:pPr>
              <w:widowControl/>
              <w:jc w:val="left"/>
            </w:pPr>
          </w:p>
        </w:tc>
        <w:tc>
          <w:tcPr>
            <w:tcW w:w="1636" w:type="dxa"/>
            <w:gridSpan w:val="2"/>
          </w:tcPr>
          <w:p>
            <w:pPr>
              <w:widowControl/>
              <w:jc w:val="left"/>
            </w:pPr>
          </w:p>
        </w:tc>
        <w:tc>
          <w:tcPr>
            <w:tcW w:w="1636" w:type="dxa"/>
          </w:tcPr>
          <w:p>
            <w:pPr>
              <w:widowControl/>
              <w:jc w:val="left"/>
            </w:pPr>
          </w:p>
        </w:tc>
        <w:tc>
          <w:tcPr>
            <w:tcW w:w="1636" w:type="dxa"/>
            <w:gridSpan w:val="2"/>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r>
      <w:tr>
        <w:tblPrEx>
          <w:tblCellMar>
            <w:top w:w="0" w:type="dxa"/>
            <w:left w:w="108" w:type="dxa"/>
            <w:bottom w:w="0" w:type="dxa"/>
            <w:right w:w="108" w:type="dxa"/>
          </w:tblCellMar>
        </w:tblPrEx>
        <w:trPr>
          <w:trHeight w:val="630" w:hRule="atLeast"/>
        </w:trPr>
        <w:tc>
          <w:tcPr>
            <w:tcW w:w="13587" w:type="dxa"/>
            <w:gridSpan w:val="20"/>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1636" w:type="dxa"/>
            <w:gridSpan w:val="2"/>
          </w:tcPr>
          <w:p>
            <w:pPr>
              <w:widowControl/>
              <w:jc w:val="left"/>
            </w:pPr>
          </w:p>
        </w:tc>
        <w:tc>
          <w:tcPr>
            <w:tcW w:w="1636" w:type="dxa"/>
            <w:gridSpan w:val="3"/>
          </w:tcPr>
          <w:p>
            <w:pPr>
              <w:widowControl/>
              <w:jc w:val="left"/>
            </w:pPr>
          </w:p>
        </w:tc>
        <w:tc>
          <w:tcPr>
            <w:tcW w:w="1636" w:type="dxa"/>
            <w:gridSpan w:val="2"/>
          </w:tcPr>
          <w:p>
            <w:pPr>
              <w:widowControl/>
              <w:jc w:val="left"/>
            </w:pPr>
          </w:p>
        </w:tc>
        <w:tc>
          <w:tcPr>
            <w:tcW w:w="1636" w:type="dxa"/>
            <w:gridSpan w:val="2"/>
          </w:tcPr>
          <w:p>
            <w:pPr>
              <w:widowControl/>
              <w:jc w:val="left"/>
            </w:pPr>
          </w:p>
        </w:tc>
        <w:tc>
          <w:tcPr>
            <w:tcW w:w="1636" w:type="dxa"/>
          </w:tcPr>
          <w:p>
            <w:pPr>
              <w:widowControl/>
              <w:jc w:val="left"/>
            </w:pPr>
          </w:p>
        </w:tc>
        <w:tc>
          <w:tcPr>
            <w:tcW w:w="1636" w:type="dxa"/>
            <w:gridSpan w:val="2"/>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r>
      <w:tr>
        <w:tblPrEx>
          <w:tblCellMar>
            <w:top w:w="0" w:type="dxa"/>
            <w:left w:w="108" w:type="dxa"/>
            <w:bottom w:w="0" w:type="dxa"/>
            <w:right w:w="108" w:type="dxa"/>
          </w:tblCellMar>
        </w:tblPrEx>
        <w:trPr>
          <w:trHeight w:val="630" w:hRule="atLeast"/>
        </w:trPr>
        <w:tc>
          <w:tcPr>
            <w:tcW w:w="13587" w:type="dxa"/>
            <w:gridSpan w:val="20"/>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1636" w:type="dxa"/>
            <w:gridSpan w:val="2"/>
          </w:tcPr>
          <w:p>
            <w:pPr>
              <w:widowControl/>
              <w:jc w:val="left"/>
            </w:pPr>
          </w:p>
        </w:tc>
        <w:tc>
          <w:tcPr>
            <w:tcW w:w="1636" w:type="dxa"/>
            <w:gridSpan w:val="3"/>
          </w:tcPr>
          <w:p>
            <w:pPr>
              <w:widowControl/>
              <w:jc w:val="left"/>
            </w:pPr>
          </w:p>
        </w:tc>
        <w:tc>
          <w:tcPr>
            <w:tcW w:w="1636" w:type="dxa"/>
            <w:gridSpan w:val="2"/>
          </w:tcPr>
          <w:p>
            <w:pPr>
              <w:widowControl/>
              <w:jc w:val="left"/>
            </w:pPr>
          </w:p>
        </w:tc>
        <w:tc>
          <w:tcPr>
            <w:tcW w:w="1636" w:type="dxa"/>
            <w:gridSpan w:val="2"/>
          </w:tcPr>
          <w:p>
            <w:pPr>
              <w:widowControl/>
              <w:jc w:val="left"/>
            </w:pPr>
          </w:p>
        </w:tc>
        <w:tc>
          <w:tcPr>
            <w:tcW w:w="1636" w:type="dxa"/>
          </w:tcPr>
          <w:p>
            <w:pPr>
              <w:widowControl/>
              <w:jc w:val="left"/>
            </w:pPr>
          </w:p>
        </w:tc>
        <w:tc>
          <w:tcPr>
            <w:tcW w:w="1636" w:type="dxa"/>
            <w:gridSpan w:val="2"/>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r>
      <w:tr>
        <w:tblPrEx>
          <w:tblCellMar>
            <w:top w:w="0" w:type="dxa"/>
            <w:left w:w="108" w:type="dxa"/>
            <w:bottom w:w="0" w:type="dxa"/>
            <w:right w:w="108" w:type="dxa"/>
          </w:tblCellMar>
        </w:tblPrEx>
        <w:trPr>
          <w:trHeight w:val="630" w:hRule="atLeast"/>
        </w:trPr>
        <w:tc>
          <w:tcPr>
            <w:tcW w:w="13587" w:type="dxa"/>
            <w:gridSpan w:val="20"/>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1636" w:type="dxa"/>
            <w:gridSpan w:val="2"/>
          </w:tcPr>
          <w:p>
            <w:pPr>
              <w:widowControl/>
              <w:jc w:val="left"/>
            </w:pPr>
          </w:p>
        </w:tc>
        <w:tc>
          <w:tcPr>
            <w:tcW w:w="1636" w:type="dxa"/>
            <w:gridSpan w:val="3"/>
          </w:tcPr>
          <w:p>
            <w:pPr>
              <w:widowControl/>
              <w:jc w:val="left"/>
            </w:pPr>
          </w:p>
        </w:tc>
        <w:tc>
          <w:tcPr>
            <w:tcW w:w="1636" w:type="dxa"/>
            <w:gridSpan w:val="2"/>
          </w:tcPr>
          <w:p>
            <w:pPr>
              <w:widowControl/>
              <w:jc w:val="left"/>
            </w:pPr>
          </w:p>
        </w:tc>
        <w:tc>
          <w:tcPr>
            <w:tcW w:w="1636" w:type="dxa"/>
            <w:gridSpan w:val="2"/>
          </w:tcPr>
          <w:p>
            <w:pPr>
              <w:widowControl/>
              <w:jc w:val="left"/>
            </w:pPr>
          </w:p>
        </w:tc>
        <w:tc>
          <w:tcPr>
            <w:tcW w:w="1636" w:type="dxa"/>
          </w:tcPr>
          <w:p>
            <w:pPr>
              <w:widowControl/>
              <w:jc w:val="left"/>
            </w:pPr>
          </w:p>
        </w:tc>
        <w:tc>
          <w:tcPr>
            <w:tcW w:w="1636" w:type="dxa"/>
            <w:gridSpan w:val="2"/>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r>
      <w:tr>
        <w:tblPrEx>
          <w:tblCellMar>
            <w:top w:w="0" w:type="dxa"/>
            <w:left w:w="108" w:type="dxa"/>
            <w:bottom w:w="0" w:type="dxa"/>
            <w:right w:w="108" w:type="dxa"/>
          </w:tblCellMar>
        </w:tblPrEx>
        <w:trPr>
          <w:trHeight w:val="630" w:hRule="atLeast"/>
        </w:trPr>
        <w:tc>
          <w:tcPr>
            <w:tcW w:w="13587" w:type="dxa"/>
            <w:gridSpan w:val="20"/>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1636" w:type="dxa"/>
            <w:gridSpan w:val="2"/>
          </w:tcPr>
          <w:p>
            <w:pPr>
              <w:widowControl/>
              <w:jc w:val="left"/>
            </w:pPr>
          </w:p>
        </w:tc>
        <w:tc>
          <w:tcPr>
            <w:tcW w:w="1636" w:type="dxa"/>
            <w:gridSpan w:val="3"/>
          </w:tcPr>
          <w:p>
            <w:pPr>
              <w:widowControl/>
              <w:jc w:val="left"/>
            </w:pPr>
          </w:p>
        </w:tc>
        <w:tc>
          <w:tcPr>
            <w:tcW w:w="1636" w:type="dxa"/>
            <w:gridSpan w:val="2"/>
          </w:tcPr>
          <w:p>
            <w:pPr>
              <w:widowControl/>
              <w:jc w:val="left"/>
            </w:pPr>
          </w:p>
        </w:tc>
        <w:tc>
          <w:tcPr>
            <w:tcW w:w="1636" w:type="dxa"/>
            <w:gridSpan w:val="2"/>
          </w:tcPr>
          <w:p>
            <w:pPr>
              <w:widowControl/>
              <w:jc w:val="left"/>
            </w:pPr>
          </w:p>
        </w:tc>
        <w:tc>
          <w:tcPr>
            <w:tcW w:w="1636" w:type="dxa"/>
          </w:tcPr>
          <w:p>
            <w:pPr>
              <w:widowControl/>
              <w:jc w:val="left"/>
            </w:pPr>
          </w:p>
        </w:tc>
        <w:tc>
          <w:tcPr>
            <w:tcW w:w="1636" w:type="dxa"/>
            <w:gridSpan w:val="2"/>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r>
      <w:tr>
        <w:tblPrEx>
          <w:tblCellMar>
            <w:top w:w="0" w:type="dxa"/>
            <w:left w:w="108" w:type="dxa"/>
            <w:bottom w:w="0" w:type="dxa"/>
            <w:right w:w="108" w:type="dxa"/>
          </w:tblCellMar>
        </w:tblPrEx>
        <w:trPr>
          <w:trHeight w:val="630" w:hRule="atLeast"/>
        </w:trPr>
        <w:tc>
          <w:tcPr>
            <w:tcW w:w="13587" w:type="dxa"/>
            <w:gridSpan w:val="20"/>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1636" w:type="dxa"/>
            <w:gridSpan w:val="2"/>
          </w:tcPr>
          <w:p>
            <w:pPr>
              <w:widowControl/>
              <w:jc w:val="left"/>
            </w:pPr>
          </w:p>
        </w:tc>
        <w:tc>
          <w:tcPr>
            <w:tcW w:w="1636" w:type="dxa"/>
            <w:gridSpan w:val="3"/>
          </w:tcPr>
          <w:p>
            <w:pPr>
              <w:widowControl/>
              <w:jc w:val="left"/>
            </w:pPr>
          </w:p>
        </w:tc>
        <w:tc>
          <w:tcPr>
            <w:tcW w:w="1636" w:type="dxa"/>
            <w:gridSpan w:val="2"/>
          </w:tcPr>
          <w:p>
            <w:pPr>
              <w:widowControl/>
              <w:jc w:val="left"/>
            </w:pPr>
          </w:p>
        </w:tc>
        <w:tc>
          <w:tcPr>
            <w:tcW w:w="1636" w:type="dxa"/>
            <w:gridSpan w:val="2"/>
          </w:tcPr>
          <w:p>
            <w:pPr>
              <w:widowControl/>
              <w:jc w:val="left"/>
            </w:pPr>
          </w:p>
        </w:tc>
        <w:tc>
          <w:tcPr>
            <w:tcW w:w="1636" w:type="dxa"/>
          </w:tcPr>
          <w:p>
            <w:pPr>
              <w:widowControl/>
              <w:jc w:val="left"/>
            </w:pPr>
          </w:p>
        </w:tc>
        <w:tc>
          <w:tcPr>
            <w:tcW w:w="1636" w:type="dxa"/>
            <w:gridSpan w:val="2"/>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r>
      <w:tr>
        <w:tblPrEx>
          <w:tblCellMar>
            <w:top w:w="0" w:type="dxa"/>
            <w:left w:w="108" w:type="dxa"/>
            <w:bottom w:w="0" w:type="dxa"/>
            <w:right w:w="108" w:type="dxa"/>
          </w:tblCellMar>
        </w:tblPrEx>
        <w:trPr>
          <w:trHeight w:val="630" w:hRule="atLeast"/>
        </w:trPr>
        <w:tc>
          <w:tcPr>
            <w:tcW w:w="13587" w:type="dxa"/>
            <w:gridSpan w:val="20"/>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1636" w:type="dxa"/>
            <w:gridSpan w:val="2"/>
          </w:tcPr>
          <w:p>
            <w:pPr>
              <w:widowControl/>
              <w:jc w:val="left"/>
            </w:pPr>
          </w:p>
        </w:tc>
        <w:tc>
          <w:tcPr>
            <w:tcW w:w="1636" w:type="dxa"/>
            <w:gridSpan w:val="3"/>
          </w:tcPr>
          <w:p>
            <w:pPr>
              <w:widowControl/>
              <w:jc w:val="left"/>
            </w:pPr>
          </w:p>
        </w:tc>
        <w:tc>
          <w:tcPr>
            <w:tcW w:w="1636" w:type="dxa"/>
            <w:gridSpan w:val="2"/>
          </w:tcPr>
          <w:p>
            <w:pPr>
              <w:widowControl/>
              <w:jc w:val="left"/>
            </w:pPr>
          </w:p>
        </w:tc>
        <w:tc>
          <w:tcPr>
            <w:tcW w:w="1636" w:type="dxa"/>
            <w:gridSpan w:val="2"/>
          </w:tcPr>
          <w:p>
            <w:pPr>
              <w:widowControl/>
              <w:jc w:val="left"/>
            </w:pPr>
          </w:p>
        </w:tc>
        <w:tc>
          <w:tcPr>
            <w:tcW w:w="1636" w:type="dxa"/>
          </w:tcPr>
          <w:p>
            <w:pPr>
              <w:widowControl/>
              <w:jc w:val="left"/>
            </w:pPr>
          </w:p>
        </w:tc>
        <w:tc>
          <w:tcPr>
            <w:tcW w:w="1636" w:type="dxa"/>
            <w:gridSpan w:val="2"/>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r>
      <w:tr>
        <w:tblPrEx>
          <w:tblCellMar>
            <w:top w:w="0" w:type="dxa"/>
            <w:left w:w="108" w:type="dxa"/>
            <w:bottom w:w="0" w:type="dxa"/>
            <w:right w:w="108" w:type="dxa"/>
          </w:tblCellMar>
        </w:tblPrEx>
        <w:trPr>
          <w:trHeight w:val="630" w:hRule="atLeast"/>
        </w:trPr>
        <w:tc>
          <w:tcPr>
            <w:tcW w:w="13587" w:type="dxa"/>
            <w:gridSpan w:val="20"/>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1636" w:type="dxa"/>
            <w:gridSpan w:val="2"/>
          </w:tcPr>
          <w:p>
            <w:pPr>
              <w:widowControl/>
              <w:jc w:val="left"/>
            </w:pPr>
          </w:p>
        </w:tc>
        <w:tc>
          <w:tcPr>
            <w:tcW w:w="1636" w:type="dxa"/>
            <w:gridSpan w:val="3"/>
          </w:tcPr>
          <w:p>
            <w:pPr>
              <w:widowControl/>
              <w:jc w:val="left"/>
            </w:pPr>
          </w:p>
        </w:tc>
        <w:tc>
          <w:tcPr>
            <w:tcW w:w="1636" w:type="dxa"/>
            <w:gridSpan w:val="2"/>
          </w:tcPr>
          <w:p>
            <w:pPr>
              <w:widowControl/>
              <w:jc w:val="left"/>
            </w:pPr>
          </w:p>
        </w:tc>
        <w:tc>
          <w:tcPr>
            <w:tcW w:w="1636" w:type="dxa"/>
            <w:gridSpan w:val="2"/>
          </w:tcPr>
          <w:p>
            <w:pPr>
              <w:widowControl/>
              <w:jc w:val="left"/>
            </w:pPr>
          </w:p>
        </w:tc>
        <w:tc>
          <w:tcPr>
            <w:tcW w:w="1636" w:type="dxa"/>
          </w:tcPr>
          <w:p>
            <w:pPr>
              <w:widowControl/>
              <w:jc w:val="left"/>
            </w:pPr>
          </w:p>
        </w:tc>
        <w:tc>
          <w:tcPr>
            <w:tcW w:w="1636" w:type="dxa"/>
            <w:gridSpan w:val="2"/>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r>
      <w:tr>
        <w:tblPrEx>
          <w:tblCellMar>
            <w:top w:w="0" w:type="dxa"/>
            <w:left w:w="108" w:type="dxa"/>
            <w:bottom w:w="0" w:type="dxa"/>
            <w:right w:w="108" w:type="dxa"/>
          </w:tblCellMar>
        </w:tblPrEx>
        <w:trPr>
          <w:trHeight w:val="630" w:hRule="atLeast"/>
        </w:trPr>
        <w:tc>
          <w:tcPr>
            <w:tcW w:w="13587" w:type="dxa"/>
            <w:gridSpan w:val="20"/>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1636" w:type="dxa"/>
            <w:gridSpan w:val="2"/>
          </w:tcPr>
          <w:p>
            <w:pPr>
              <w:widowControl/>
              <w:jc w:val="left"/>
            </w:pPr>
          </w:p>
        </w:tc>
        <w:tc>
          <w:tcPr>
            <w:tcW w:w="1636" w:type="dxa"/>
            <w:gridSpan w:val="3"/>
          </w:tcPr>
          <w:p>
            <w:pPr>
              <w:widowControl/>
              <w:jc w:val="left"/>
            </w:pPr>
          </w:p>
        </w:tc>
        <w:tc>
          <w:tcPr>
            <w:tcW w:w="1636" w:type="dxa"/>
            <w:gridSpan w:val="2"/>
          </w:tcPr>
          <w:p>
            <w:pPr>
              <w:widowControl/>
              <w:jc w:val="left"/>
            </w:pPr>
          </w:p>
        </w:tc>
        <w:tc>
          <w:tcPr>
            <w:tcW w:w="1636" w:type="dxa"/>
            <w:gridSpan w:val="2"/>
          </w:tcPr>
          <w:p>
            <w:pPr>
              <w:widowControl/>
              <w:jc w:val="left"/>
            </w:pPr>
          </w:p>
        </w:tc>
        <w:tc>
          <w:tcPr>
            <w:tcW w:w="1636" w:type="dxa"/>
          </w:tcPr>
          <w:p>
            <w:pPr>
              <w:widowControl/>
              <w:jc w:val="left"/>
            </w:pPr>
          </w:p>
        </w:tc>
        <w:tc>
          <w:tcPr>
            <w:tcW w:w="1636" w:type="dxa"/>
            <w:gridSpan w:val="2"/>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r>
      <w:tr>
        <w:tblPrEx>
          <w:tblCellMar>
            <w:top w:w="0" w:type="dxa"/>
            <w:left w:w="108" w:type="dxa"/>
            <w:bottom w:w="0" w:type="dxa"/>
            <w:right w:w="108" w:type="dxa"/>
          </w:tblCellMar>
        </w:tblPrEx>
        <w:trPr>
          <w:trHeight w:val="630" w:hRule="atLeast"/>
        </w:trPr>
        <w:tc>
          <w:tcPr>
            <w:tcW w:w="13587" w:type="dxa"/>
            <w:gridSpan w:val="20"/>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1636" w:type="dxa"/>
            <w:gridSpan w:val="2"/>
          </w:tcPr>
          <w:p>
            <w:pPr>
              <w:widowControl/>
              <w:jc w:val="left"/>
            </w:pPr>
          </w:p>
        </w:tc>
        <w:tc>
          <w:tcPr>
            <w:tcW w:w="1636" w:type="dxa"/>
            <w:gridSpan w:val="3"/>
          </w:tcPr>
          <w:p>
            <w:pPr>
              <w:widowControl/>
              <w:jc w:val="left"/>
            </w:pPr>
          </w:p>
        </w:tc>
        <w:tc>
          <w:tcPr>
            <w:tcW w:w="1636" w:type="dxa"/>
            <w:gridSpan w:val="2"/>
          </w:tcPr>
          <w:p>
            <w:pPr>
              <w:widowControl/>
              <w:jc w:val="left"/>
            </w:pPr>
          </w:p>
        </w:tc>
        <w:tc>
          <w:tcPr>
            <w:tcW w:w="1636" w:type="dxa"/>
            <w:gridSpan w:val="2"/>
          </w:tcPr>
          <w:p>
            <w:pPr>
              <w:widowControl/>
              <w:jc w:val="left"/>
            </w:pPr>
          </w:p>
        </w:tc>
        <w:tc>
          <w:tcPr>
            <w:tcW w:w="1636" w:type="dxa"/>
          </w:tcPr>
          <w:p>
            <w:pPr>
              <w:widowControl/>
              <w:jc w:val="left"/>
            </w:pPr>
          </w:p>
        </w:tc>
        <w:tc>
          <w:tcPr>
            <w:tcW w:w="1636" w:type="dxa"/>
            <w:gridSpan w:val="2"/>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r>
      <w:tr>
        <w:tblPrEx>
          <w:tblCellMar>
            <w:top w:w="0" w:type="dxa"/>
            <w:left w:w="108" w:type="dxa"/>
            <w:bottom w:w="0" w:type="dxa"/>
            <w:right w:w="108" w:type="dxa"/>
          </w:tblCellMar>
        </w:tblPrEx>
        <w:trPr>
          <w:trHeight w:val="630" w:hRule="atLeast"/>
        </w:trPr>
        <w:tc>
          <w:tcPr>
            <w:tcW w:w="13587" w:type="dxa"/>
            <w:gridSpan w:val="20"/>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1636" w:type="dxa"/>
            <w:gridSpan w:val="2"/>
          </w:tcPr>
          <w:p>
            <w:pPr>
              <w:widowControl/>
              <w:jc w:val="left"/>
            </w:pPr>
          </w:p>
        </w:tc>
        <w:tc>
          <w:tcPr>
            <w:tcW w:w="1636" w:type="dxa"/>
            <w:gridSpan w:val="3"/>
          </w:tcPr>
          <w:p>
            <w:pPr>
              <w:widowControl/>
              <w:jc w:val="left"/>
            </w:pPr>
          </w:p>
        </w:tc>
        <w:tc>
          <w:tcPr>
            <w:tcW w:w="1636" w:type="dxa"/>
            <w:gridSpan w:val="2"/>
          </w:tcPr>
          <w:p>
            <w:pPr>
              <w:widowControl/>
              <w:jc w:val="left"/>
            </w:pPr>
          </w:p>
        </w:tc>
        <w:tc>
          <w:tcPr>
            <w:tcW w:w="1636" w:type="dxa"/>
            <w:gridSpan w:val="2"/>
          </w:tcPr>
          <w:p>
            <w:pPr>
              <w:widowControl/>
              <w:jc w:val="left"/>
            </w:pPr>
          </w:p>
        </w:tc>
        <w:tc>
          <w:tcPr>
            <w:tcW w:w="1636" w:type="dxa"/>
          </w:tcPr>
          <w:p>
            <w:pPr>
              <w:widowControl/>
              <w:jc w:val="left"/>
            </w:pPr>
          </w:p>
        </w:tc>
        <w:tc>
          <w:tcPr>
            <w:tcW w:w="1636" w:type="dxa"/>
            <w:gridSpan w:val="2"/>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r>
      <w:tr>
        <w:tblPrEx>
          <w:tblCellMar>
            <w:top w:w="0" w:type="dxa"/>
            <w:left w:w="108" w:type="dxa"/>
            <w:bottom w:w="0" w:type="dxa"/>
            <w:right w:w="108" w:type="dxa"/>
          </w:tblCellMar>
        </w:tblPrEx>
        <w:trPr>
          <w:trHeight w:val="630" w:hRule="atLeast"/>
        </w:trPr>
        <w:tc>
          <w:tcPr>
            <w:tcW w:w="13587" w:type="dxa"/>
            <w:gridSpan w:val="20"/>
            <w:tcBorders>
              <w:top w:val="nil"/>
              <w:left w:val="nil"/>
              <w:bottom w:val="nil"/>
              <w:right w:val="nil"/>
            </w:tcBorders>
            <w:shd w:val="clear" w:color="auto" w:fill="auto"/>
            <w:vAlign w:val="center"/>
          </w:tcPr>
          <w:p>
            <w:pPr>
              <w:widowControl/>
              <w:rPr>
                <w:rFonts w:ascii="宋体" w:hAnsi="宋体" w:eastAsia="宋体" w:cs="宋体"/>
                <w:kern w:val="0"/>
                <w:sz w:val="24"/>
                <w:szCs w:val="24"/>
              </w:rPr>
            </w:pPr>
          </w:p>
        </w:tc>
        <w:tc>
          <w:tcPr>
            <w:tcW w:w="1636" w:type="dxa"/>
            <w:gridSpan w:val="2"/>
          </w:tcPr>
          <w:p>
            <w:pPr>
              <w:widowControl/>
              <w:jc w:val="left"/>
            </w:pPr>
          </w:p>
        </w:tc>
        <w:tc>
          <w:tcPr>
            <w:tcW w:w="1636" w:type="dxa"/>
            <w:gridSpan w:val="3"/>
          </w:tcPr>
          <w:p>
            <w:pPr>
              <w:widowControl/>
              <w:jc w:val="left"/>
            </w:pPr>
          </w:p>
        </w:tc>
        <w:tc>
          <w:tcPr>
            <w:tcW w:w="1636" w:type="dxa"/>
            <w:gridSpan w:val="2"/>
          </w:tcPr>
          <w:p>
            <w:pPr>
              <w:widowControl/>
              <w:jc w:val="left"/>
            </w:pPr>
          </w:p>
        </w:tc>
        <w:tc>
          <w:tcPr>
            <w:tcW w:w="1636" w:type="dxa"/>
            <w:gridSpan w:val="2"/>
          </w:tcPr>
          <w:p>
            <w:pPr>
              <w:widowControl/>
              <w:jc w:val="left"/>
            </w:pPr>
          </w:p>
        </w:tc>
        <w:tc>
          <w:tcPr>
            <w:tcW w:w="1636" w:type="dxa"/>
          </w:tcPr>
          <w:p>
            <w:pPr>
              <w:widowControl/>
              <w:jc w:val="left"/>
            </w:pPr>
          </w:p>
        </w:tc>
        <w:tc>
          <w:tcPr>
            <w:tcW w:w="1636" w:type="dxa"/>
            <w:gridSpan w:val="2"/>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c>
          <w:tcPr>
            <w:tcW w:w="1636" w:type="dxa"/>
            <w:vAlign w:val="center"/>
          </w:tcPr>
          <w:p>
            <w:pPr>
              <w:jc w:val="center"/>
              <w:rPr>
                <w:rFonts w:ascii="宋体" w:hAnsi="宋体" w:eastAsia="宋体" w:cs="Arial"/>
                <w:color w:val="000000"/>
                <w:sz w:val="22"/>
              </w:rPr>
            </w:pPr>
          </w:p>
        </w:tc>
      </w:tr>
      <w:tr>
        <w:tblPrEx>
          <w:tblCellMar>
            <w:top w:w="0" w:type="dxa"/>
            <w:left w:w="108" w:type="dxa"/>
            <w:bottom w:w="0" w:type="dxa"/>
            <w:right w:w="108" w:type="dxa"/>
          </w:tblCellMar>
        </w:tblPrEx>
        <w:trPr>
          <w:gridAfter w:val="14"/>
          <w:wAfter w:w="16062" w:type="dxa"/>
          <w:trHeight w:val="285" w:hRule="atLeast"/>
        </w:trPr>
        <w:tc>
          <w:tcPr>
            <w:tcW w:w="3595" w:type="dxa"/>
            <w:gridSpan w:val="6"/>
            <w:tcBorders>
              <w:top w:val="nil"/>
              <w:left w:val="nil"/>
              <w:bottom w:val="nil"/>
              <w:right w:val="nil"/>
            </w:tcBorders>
            <w:shd w:val="clear" w:color="auto" w:fill="auto"/>
            <w:noWrap/>
            <w:vAlign w:val="center"/>
          </w:tcPr>
          <w:p>
            <w:pPr>
              <w:widowControl/>
              <w:jc w:val="center"/>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574" w:type="dxa"/>
            <w:gridSpan w:val="3"/>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3547" w:type="dxa"/>
            <w:gridSpan w:val="4"/>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573" w:type="dxa"/>
            <w:gridSpan w:val="2"/>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394" w:type="dxa"/>
            <w:gridSpan w:val="2"/>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394" w:type="dxa"/>
            <w:gridSpan w:val="2"/>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573" w:type="dxa"/>
            <w:gridSpan w:val="2"/>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4"/>
          <w:wAfter w:w="16062" w:type="dxa"/>
          <w:trHeight w:val="360" w:hRule="atLeast"/>
        </w:trPr>
        <w:tc>
          <w:tcPr>
            <w:tcW w:w="15521" w:type="dxa"/>
            <w:gridSpan w:val="23"/>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gridAfter w:val="14"/>
          <w:wAfter w:w="16062" w:type="dxa"/>
          <w:trHeight w:val="199" w:hRule="atLeast"/>
        </w:trPr>
        <w:tc>
          <w:tcPr>
            <w:tcW w:w="3595" w:type="dxa"/>
            <w:gridSpan w:val="6"/>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436"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078"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4043"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435"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573"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394"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394"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573"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rPr>
          <w:gridAfter w:val="14"/>
          <w:wAfter w:w="16062" w:type="dxa"/>
          <w:trHeight w:val="300" w:hRule="atLeast"/>
        </w:trPr>
        <w:tc>
          <w:tcPr>
            <w:tcW w:w="3595" w:type="dxa"/>
            <w:gridSpan w:val="6"/>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部门：岳阳市文学艺术研究所</w:t>
            </w:r>
          </w:p>
        </w:tc>
        <w:tc>
          <w:tcPr>
            <w:tcW w:w="436"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078"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4043"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435"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573"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394"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394"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573"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4"/>
          <w:wAfter w:w="16062" w:type="dxa"/>
          <w:trHeight w:val="402" w:hRule="atLeast"/>
        </w:trPr>
        <w:tc>
          <w:tcPr>
            <w:tcW w:w="5109" w:type="dxa"/>
            <w:gridSpan w:val="9"/>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14"/>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gridAfter w:val="14"/>
          <w:wAfter w:w="16062" w:type="dxa"/>
          <w:trHeight w:val="630"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96.10</w:t>
            </w:r>
          </w:p>
        </w:tc>
        <w:tc>
          <w:tcPr>
            <w:tcW w:w="3411"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33</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3411"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34</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3411"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35</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36</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37</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六、科学技术支出</w:t>
            </w:r>
          </w:p>
        </w:tc>
        <w:tc>
          <w:tcPr>
            <w:tcW w:w="106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38</w:t>
            </w:r>
          </w:p>
        </w:tc>
        <w:tc>
          <w:tcPr>
            <w:tcW w:w="157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39</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color w:val="000000"/>
                <w:sz w:val="22"/>
              </w:rPr>
            </w:pPr>
            <w:r>
              <w:rPr>
                <w:rFonts w:hint="eastAsia" w:ascii="宋体" w:hAnsi="宋体" w:eastAsia="宋体" w:cs="Arial"/>
                <w:b/>
                <w:color w:val="000000"/>
                <w:sz w:val="22"/>
              </w:rPr>
              <w:t>82.28</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color w:val="000000"/>
                <w:sz w:val="22"/>
              </w:rPr>
            </w:pPr>
            <w:r>
              <w:rPr>
                <w:rFonts w:hint="eastAsia" w:ascii="宋体" w:hAnsi="宋体" w:eastAsia="宋体" w:cs="Arial"/>
                <w:b/>
                <w:color w:val="000000"/>
                <w:sz w:val="22"/>
              </w:rPr>
              <w:t>82.28</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10.87</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10.87</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41</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2.94</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2.94</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42</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43</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44</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45</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46</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47</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48</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49</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51</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52</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53</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54</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55</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24</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56</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57</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58</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96.10　</w:t>
            </w:r>
          </w:p>
        </w:tc>
        <w:tc>
          <w:tcPr>
            <w:tcW w:w="3411"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59</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ascii="宋体" w:hAnsi="宋体" w:eastAsia="宋体" w:cs="Arial"/>
                <w:color w:val="000000"/>
                <w:sz w:val="22"/>
              </w:rPr>
              <w:t>96.09</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ascii="宋体" w:hAnsi="宋体" w:eastAsia="宋体" w:cs="Arial"/>
                <w:color w:val="000000"/>
                <w:sz w:val="22"/>
              </w:rPr>
              <w:t>96.09</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　</w:t>
            </w: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ascii="宋体" w:hAnsi="宋体" w:eastAsia="宋体" w:cs="Arial"/>
                <w:color w:val="000000"/>
                <w:sz w:val="22"/>
              </w:rPr>
              <w:t>0.01</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ascii="宋体" w:hAnsi="宋体" w:eastAsia="宋体" w:cs="Arial"/>
                <w:color w:val="000000"/>
                <w:sz w:val="22"/>
              </w:rPr>
              <w:t>0.01</w:t>
            </w: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29</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　</w:t>
            </w:r>
          </w:p>
        </w:tc>
        <w:tc>
          <w:tcPr>
            <w:tcW w:w="3411"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61</w:t>
            </w: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39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30</w:t>
            </w:r>
          </w:p>
        </w:tc>
        <w:tc>
          <w:tcPr>
            <w:tcW w:w="107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411" w:type="dxa"/>
            <w:gridSpan w:val="4"/>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06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62</w:t>
            </w:r>
          </w:p>
        </w:tc>
        <w:tc>
          <w:tcPr>
            <w:tcW w:w="157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394"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394"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31</w:t>
            </w:r>
          </w:p>
        </w:tc>
        <w:tc>
          <w:tcPr>
            <w:tcW w:w="107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41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106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63</w:t>
            </w:r>
          </w:p>
        </w:tc>
        <w:tc>
          <w:tcPr>
            <w:tcW w:w="157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394"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39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57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r>
      <w:tr>
        <w:tblPrEx>
          <w:tblCellMar>
            <w:top w:w="0" w:type="dxa"/>
            <w:left w:w="108" w:type="dxa"/>
            <w:bottom w:w="0" w:type="dxa"/>
            <w:right w:w="108" w:type="dxa"/>
          </w:tblCellMar>
        </w:tblPrEx>
        <w:trPr>
          <w:gridAfter w:val="14"/>
          <w:wAfter w:w="16062" w:type="dxa"/>
          <w:trHeight w:val="402" w:hRule="atLeast"/>
        </w:trPr>
        <w:tc>
          <w:tcPr>
            <w:tcW w:w="3595"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32</w:t>
            </w:r>
          </w:p>
        </w:tc>
        <w:tc>
          <w:tcPr>
            <w:tcW w:w="107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96.10　</w:t>
            </w:r>
          </w:p>
        </w:tc>
        <w:tc>
          <w:tcPr>
            <w:tcW w:w="3411" w:type="dxa"/>
            <w:gridSpan w:val="4"/>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64</w:t>
            </w:r>
          </w:p>
        </w:tc>
        <w:tc>
          <w:tcPr>
            <w:tcW w:w="1573" w:type="dxa"/>
            <w:gridSpan w:val="2"/>
            <w:tcBorders>
              <w:top w:val="single" w:color="auto" w:sz="4" w:space="0"/>
              <w:left w:val="nil"/>
              <w:bottom w:val="single" w:color="auto" w:sz="4" w:space="0"/>
              <w:right w:val="single" w:color="auto" w:sz="4" w:space="0"/>
            </w:tcBorders>
            <w:shd w:val="clear" w:color="000000" w:fill="FFFFFF"/>
            <w:noWrap/>
            <w:vAlign w:val="center"/>
          </w:tcPr>
          <w:p>
            <w:pPr>
              <w:jc w:val="right"/>
              <w:rPr>
                <w:rFonts w:ascii="宋体" w:hAnsi="宋体" w:eastAsia="宋体" w:cs="Arial"/>
                <w:color w:val="000000"/>
                <w:sz w:val="22"/>
              </w:rPr>
            </w:pPr>
            <w:r>
              <w:rPr>
                <w:rFonts w:hint="eastAsia" w:ascii="宋体" w:hAnsi="宋体" w:eastAsia="宋体" w:cs="Arial"/>
                <w:color w:val="000000"/>
                <w:sz w:val="22"/>
              </w:rPr>
              <w:t>96.10</w:t>
            </w:r>
          </w:p>
        </w:tc>
        <w:tc>
          <w:tcPr>
            <w:tcW w:w="1394" w:type="dxa"/>
            <w:gridSpan w:val="2"/>
            <w:tcBorders>
              <w:top w:val="single" w:color="auto" w:sz="4" w:space="0"/>
              <w:left w:val="nil"/>
              <w:bottom w:val="single" w:color="auto" w:sz="4" w:space="0"/>
              <w:right w:val="single" w:color="auto" w:sz="4" w:space="0"/>
            </w:tcBorders>
            <w:shd w:val="clear" w:color="000000" w:fill="FFFFFF"/>
            <w:noWrap/>
            <w:vAlign w:val="center"/>
          </w:tcPr>
          <w:p>
            <w:pPr>
              <w:jc w:val="right"/>
              <w:rPr>
                <w:rFonts w:ascii="宋体" w:hAnsi="宋体" w:eastAsia="宋体" w:cs="Arial"/>
                <w:color w:val="000000"/>
                <w:sz w:val="22"/>
              </w:rPr>
            </w:pPr>
            <w:r>
              <w:rPr>
                <w:rFonts w:hint="eastAsia" w:ascii="宋体" w:hAnsi="宋体" w:eastAsia="宋体" w:cs="Arial"/>
                <w:color w:val="000000"/>
                <w:sz w:val="22"/>
              </w:rPr>
              <w:t>96.10</w:t>
            </w:r>
          </w:p>
        </w:tc>
        <w:tc>
          <w:tcPr>
            <w:tcW w:w="139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0.00</w:t>
            </w:r>
          </w:p>
        </w:tc>
        <w:tc>
          <w:tcPr>
            <w:tcW w:w="157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4"/>
          <w:wAfter w:w="16062" w:type="dxa"/>
          <w:trHeight w:val="585" w:hRule="atLeast"/>
        </w:trPr>
        <w:tc>
          <w:tcPr>
            <w:tcW w:w="15521" w:type="dxa"/>
            <w:gridSpan w:val="23"/>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岳阳市文学艺术研究所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96.09</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68.06</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28.04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207</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82.28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54.24</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28.04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20701</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文化和旅游</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82.28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54.24</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28.04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2070102</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一般行政管理事务</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7.60</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7.60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2070107</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艺术表演团体</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74.68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54.24</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20.44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2070111</w:t>
            </w:r>
          </w:p>
        </w:tc>
        <w:tc>
          <w:tcPr>
            <w:tcW w:w="352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文化创作与保护</w:t>
            </w:r>
          </w:p>
        </w:tc>
        <w:tc>
          <w:tcPr>
            <w:tcW w:w="300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10.87</w:t>
            </w:r>
          </w:p>
        </w:tc>
        <w:tc>
          <w:tcPr>
            <w:tcW w:w="3492"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10.87</w:t>
            </w:r>
          </w:p>
        </w:tc>
        <w:tc>
          <w:tcPr>
            <w:tcW w:w="3000" w:type="dxa"/>
            <w:tcBorders>
              <w:top w:val="single" w:color="auto" w:sz="4" w:space="0"/>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2070199</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其他文化和旅游支出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6.39</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6.39</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6.39</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6.39</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20805</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行政事业单位养老支出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4.07</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4.07</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2080502</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事业单位离退休</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4.07</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4.07</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2080505</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机关事业单位基本养老保险缴费支出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82.28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54.24</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28.04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20808</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抚恤</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82.28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54.24</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28.04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2080899</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其他优抚支出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7.60</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7.60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20811</w:t>
            </w:r>
          </w:p>
        </w:tc>
        <w:tc>
          <w:tcPr>
            <w:tcW w:w="352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残疾人事业</w:t>
            </w:r>
          </w:p>
        </w:tc>
        <w:tc>
          <w:tcPr>
            <w:tcW w:w="300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0.41</w:t>
            </w:r>
          </w:p>
        </w:tc>
        <w:tc>
          <w:tcPr>
            <w:tcW w:w="3492"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0.41</w:t>
            </w:r>
          </w:p>
        </w:tc>
        <w:tc>
          <w:tcPr>
            <w:tcW w:w="3000" w:type="dxa"/>
            <w:tcBorders>
              <w:top w:val="single" w:color="auto" w:sz="4" w:space="0"/>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2081199</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其他残疾人事业支出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0.41</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0.41</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210</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卫生健康支出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2.94</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2.94</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21011</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行政事业单位医疗</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2.94</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2.94</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2101102</w:t>
            </w:r>
          </w:p>
        </w:tc>
        <w:tc>
          <w:tcPr>
            <w:tcW w:w="3527" w:type="dxa"/>
            <w:tcBorders>
              <w:top w:val="nil"/>
              <w:left w:val="nil"/>
              <w:bottom w:val="single" w:color="auto" w:sz="8"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事业单位医疗</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2.94</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2.94</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40"/>
        <w:gridCol w:w="3366"/>
        <w:gridCol w:w="831"/>
        <w:gridCol w:w="1052"/>
        <w:gridCol w:w="2316"/>
        <w:gridCol w:w="713"/>
        <w:gridCol w:w="1052"/>
        <w:gridCol w:w="4206"/>
        <w:gridCol w:w="73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岳阳市文学艺术研究所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53.23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2.66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25.36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0.30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1.50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15.06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2.94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0.51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0.48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0.20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0.48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284" w:hRule="exact"/>
        </w:trPr>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0.11</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284" w:hRule="exact"/>
        </w:trPr>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65.39</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18"/>
              </w:rPr>
            </w:pPr>
            <w:r>
              <w:rPr>
                <w:rFonts w:hint="eastAsia" w:ascii="宋体" w:hAnsi="宋体" w:eastAsia="宋体" w:cs="宋体"/>
                <w:color w:val="000000"/>
                <w:kern w:val="0"/>
                <w:szCs w:val="18"/>
              </w:rPr>
              <w:t>2.66</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1760" w:hanging="11760" w:hangingChars="560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岳阳市文学艺术研究所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left="11760" w:leftChars="5600" w:firstLine="1785" w:firstLineChars="8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0.90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0.90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0.17</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nil"/>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 xml:space="preserve"> 0.17</w:t>
            </w:r>
          </w:p>
        </w:tc>
      </w:tr>
    </w:tbl>
    <w:p>
      <w:pPr>
        <w:widowControl/>
        <w:jc w:val="left"/>
        <w:rPr>
          <w:rFonts w:ascii="宋体" w:eastAsia="宋体" w:cs="宋体"/>
          <w:kern w:val="0"/>
          <w:sz w:val="24"/>
          <w:szCs w:val="24"/>
        </w:rPr>
      </w:pPr>
      <w:r>
        <w:rPr>
          <w:rFonts w:hint="eastAsia" w:ascii="宋体" w:eastAsia="宋体" w:cs="宋体"/>
          <w:kern w:val="0"/>
          <w:sz w:val="24"/>
          <w:szCs w:val="24"/>
        </w:rPr>
        <w:t xml:space="preserve">    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岳阳市文学艺术研究所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2"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岳阳市文学艺术研究所没有政府性基金收入，也没有使用政府性基金安排的支出，故本表无数据。</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w:t>
      </w: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p>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000" w:type="dxa"/>
            <w:gridSpan w:val="4"/>
            <w:vMerge w:val="restart"/>
            <w:tcBorders>
              <w:top w:val="nil"/>
              <w:left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岳阳市文学艺术研究所</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000" w:type="dxa"/>
            <w:gridSpan w:val="4"/>
            <w:vMerge w:val="continue"/>
            <w:tcBorders>
              <w:left w:val="nil"/>
              <w:bottom w:val="nil"/>
              <w:right w:val="nil"/>
            </w:tcBorders>
            <w:shd w:val="clear" w:color="000000" w:fill="FFFFFF"/>
            <w:vAlign w:val="center"/>
          </w:tcPr>
          <w:p>
            <w:pPr>
              <w:widowControl/>
              <w:jc w:val="left"/>
              <w:rPr>
                <w:rFonts w:ascii="宋体" w:hAnsi="宋体" w:eastAsia="宋体" w:cs="宋体"/>
                <w:kern w:val="0"/>
                <w:sz w:val="20"/>
                <w:szCs w:val="20"/>
              </w:rPr>
            </w:pP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岳阳市文学艺术研究所没有使用国有资本经营预算安排的支出，故本表无数据。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2020年度收、支总计227.76万元。与上年相比，增加85.94万元，增长61.00%，主要是因为增长了工资及专项活动创作经费。</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本年收入合计210.80万元，其中：财政拨款收入96.10万元，占45.59%；上级补助收入0万元，占0%；事业收入0万元，占0%；经营收入0万元，占0%；附属单位上缴收入0万元，占0%；其他收入114.70万元，占54.41%。</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本年支出合计227.76万元，其中：基本支出199.11万元，占87.42%；项目支出28.65万元，占12.58%；上缴上级支出0万元，占0%；经营支出0万元，占0%；对附属单位补助支出0万元，占0%。</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2020年度财政拨款收、支总计227.76万元，与上年相比，增加85.94万元,增长61.00%，主要是因为增长了工资及专项活动创作经费。</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2020年度财政拨款支出96.10万元，占本年支出合计的42.19 %，与上年相比，财政拨款支出增加25.76万元，增长36.62%，主要是因为增长了工资。</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2020年度财政拨款支出96.10万元，主要用于以下方面：文化旅游体育与传媒支出82.28万元，占85.62%；社会保障和就业支出10.87万元，占11.32%；卫生健康支出2.94万元，占3.06%。</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2020年度财政拨款支出年初预算数为61.48万元，支出决算数为96.10万元，完成年初预算的156.31%，其中</w:t>
      </w:r>
      <w:r>
        <w:rPr>
          <w:rFonts w:asciiTheme="minorEastAsia" w:hAnsiTheme="minorEastAsia" w:eastAsiaTheme="minorEastAsia"/>
          <w:sz w:val="32"/>
          <w:szCs w:val="32"/>
        </w:rPr>
        <w:t xml:space="preserve"> </w:t>
      </w:r>
    </w:p>
    <w:p>
      <w:pPr>
        <w:pStyle w:val="9"/>
        <w:ind w:firstLine="320" w:firstLineChars="100"/>
        <w:rPr>
          <w:rFonts w:asciiTheme="minorEastAsia" w:hAnsiTheme="minorEastAsia" w:eastAsiaTheme="minorEastAsia"/>
          <w:sz w:val="32"/>
          <w:szCs w:val="32"/>
        </w:rPr>
      </w:pP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1、文化旅游体育与传媒支出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年初预算为50.48万元，支出决算为82.28万元，其中：一般行政管理事务支出7.6万元，其他文化和旅游支出74.68万元，完成年初预算的163.00%，决算数大于年初预算数的主要原因是今年专项活动多于上年。</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9.00万元，支出决算为10.87万元，其中：机关事业单位基本养老保险缴费支出6.39万元，其他优抚支出4.07万元，其他残疾人事业支出0.41万元，完成年初预算的120.78%，决算数大于年初预算数的主要原因是财政预算调整。</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3、卫生健康支出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年初预算为2.00万元，支出决算为2.95万元，事业单位医疗支出2.95万元，完成年初预算的147.50%，决算数大于年初预算数的主要原因是财政预算调整。</w:t>
      </w:r>
    </w:p>
    <w:p>
      <w:pPr>
        <w:pStyle w:val="9"/>
        <w:ind w:firstLine="800" w:firstLineChars="250"/>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68.05万元，其中：人员经费65.39万元，占基本支出的96.09%,主要包括基本工资、奖金、伙食补助费、绩效工资、机关事业单位基本养老保险缴费、职工基本医疗保险、其他社会保障缴费、退休费、抚恤金、生活补助、奖励金、其他对个人和家庭的补助；公用经费2.66万元，占基本支出的15.053.91%，主要包括办公费、邮电费、差旅费、维修（护）费、公务接待费、专用材料费、劳务费、工会经费。</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“三公”经费财政拨款支出预算为0.90万元，支出决算为0.17万元，完成预算的18.89%，其中：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因公出国（境）费支出预算为0万元，支出决算为0万元，完成预算的0%，决算数等于预算数，与上年相比持平。</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0.90万元，支出决算为0.17万元，完成预算的18.89%，决算数小于预算数的主要原因是厉行节约，进一步压缩三公经费，与上年相比减少0.47万元，减少73.44%,减少的主要原因是厉行节约，进一步压缩三公经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公务用车购置费及运行维护费支出预算为0万元，支出决算为0万元，完成预算的0%，决算数等于预算数，与上年相比持平。</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2020年度“三公”经费财政拨款支出决算中，公务接待费支出决算0.17万元，占100%,因公出国（境）费支出决算0万元，占0%,公务用车购置费及运行维护费支出决算0万元，占0%。其中：</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1、因公出国（境）费支出决算为0万元，全年未安排因公出国（境）。</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2、公务接待费支出决算为0.17万元，全年共接待来访团组3个、来宾10人次，主要是创作业务开展发生的接待支出。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3、公务用车购置费及运行维护费支出决算为0万元，其中：公务用车购置费0万元，更新公务用车0辆。公务用车运行维护费0万元，截止2020年12月31日，我单位开支财政拨款的公务用车保有量为0辆。</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2020年度岳阳市文学艺术研究所无政府性基金预算财政拨款收入。</w:t>
      </w:r>
    </w:p>
    <w:p>
      <w:pPr>
        <w:pStyle w:val="9"/>
        <w:rPr>
          <w:rFonts w:hAnsi="黑体"/>
          <w:b/>
          <w:sz w:val="32"/>
          <w:szCs w:val="32"/>
        </w:rPr>
      </w:pPr>
      <w:r>
        <w:rPr>
          <w:rFonts w:hint="eastAsia" w:hAnsi="黑体"/>
          <w:b/>
          <w:sz w:val="32"/>
          <w:szCs w:val="32"/>
        </w:rPr>
        <w:t>九、国有资本经营预算财政拨款支出决算情况</w:t>
      </w:r>
    </w:p>
    <w:p>
      <w:pPr>
        <w:pStyle w:val="9"/>
        <w:ind w:firstLine="636"/>
        <w:rPr>
          <w:rFonts w:asciiTheme="minorEastAsia" w:hAnsiTheme="minorEastAsia" w:eastAsiaTheme="minorEastAsia"/>
          <w:sz w:val="32"/>
          <w:szCs w:val="32"/>
        </w:rPr>
      </w:pPr>
      <w:r>
        <w:rPr>
          <w:rFonts w:hint="eastAsia" w:asciiTheme="minorEastAsia" w:hAnsiTheme="minorEastAsia" w:eastAsiaTheme="minorEastAsia"/>
          <w:sz w:val="32"/>
          <w:szCs w:val="32"/>
        </w:rPr>
        <w:t>2020年度岳阳市文学艺术研究所无国有资本经营预算财政拨款支出。</w:t>
      </w:r>
    </w:p>
    <w:p>
      <w:pPr>
        <w:pStyle w:val="9"/>
        <w:rPr>
          <w:rFonts w:hAnsi="黑体"/>
          <w:b/>
          <w:sz w:val="32"/>
          <w:szCs w:val="32"/>
        </w:rPr>
      </w:pPr>
      <w:r>
        <w:rPr>
          <w:rFonts w:hint="eastAsia" w:hAnsi="黑体"/>
          <w:b/>
          <w:sz w:val="32"/>
          <w:szCs w:val="32"/>
        </w:rPr>
        <w:t>十、关于机关运行经费支出说明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本部门2020年度无机关运行经费支出。</w:t>
      </w:r>
    </w:p>
    <w:p>
      <w:pPr>
        <w:pStyle w:val="9"/>
        <w:rPr>
          <w:rFonts w:hAnsi="黑体"/>
          <w:b/>
          <w:sz w:val="32"/>
          <w:szCs w:val="32"/>
        </w:rPr>
      </w:pPr>
      <w:r>
        <w:rPr>
          <w:rFonts w:hint="eastAsia" w:hAnsi="黑体"/>
          <w:b/>
          <w:sz w:val="32"/>
          <w:szCs w:val="32"/>
        </w:rPr>
        <w:t>十一、一般性支出情况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2020年本部门未开支会议费。2020年本部门未开支</w:t>
      </w:r>
      <w:r>
        <w:rPr>
          <w:rFonts w:hint="eastAsia" w:asciiTheme="minorEastAsia" w:hAnsiTheme="minorEastAsia" w:eastAsiaTheme="minorEastAsia"/>
          <w:sz w:val="32"/>
          <w:szCs w:val="32"/>
          <w:lang w:eastAsia="zh-CN"/>
        </w:rPr>
        <w:t>培训费。</w:t>
      </w:r>
      <w:r>
        <w:rPr>
          <w:rFonts w:hint="eastAsia" w:asciiTheme="minorEastAsia" w:hAnsiTheme="minorEastAsia" w:eastAsiaTheme="minorEastAsia"/>
          <w:sz w:val="32"/>
          <w:szCs w:val="32"/>
        </w:rPr>
        <w:t>2020年度未举办节庆、晚会、论坛、赛事活动。</w:t>
      </w:r>
      <w:bookmarkStart w:id="3" w:name="_GoBack"/>
      <w:bookmarkEnd w:id="3"/>
    </w:p>
    <w:p>
      <w:pPr>
        <w:pStyle w:val="9"/>
        <w:rPr>
          <w:rFonts w:hAnsi="黑体"/>
          <w:b/>
          <w:sz w:val="32"/>
          <w:szCs w:val="32"/>
        </w:rPr>
      </w:pPr>
      <w:r>
        <w:rPr>
          <w:rFonts w:hint="eastAsia" w:hAnsi="黑体"/>
          <w:b/>
          <w:sz w:val="32"/>
          <w:szCs w:val="32"/>
        </w:rPr>
        <w:t>十二、关于政府采购支出说明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本部门2020年度无政府采购支出。</w:t>
      </w:r>
    </w:p>
    <w:p>
      <w:pPr>
        <w:pStyle w:val="9"/>
        <w:rPr>
          <w:rFonts w:hAnsi="黑体"/>
          <w:b/>
          <w:sz w:val="32"/>
          <w:szCs w:val="32"/>
        </w:rPr>
      </w:pPr>
      <w:r>
        <w:rPr>
          <w:rFonts w:hint="eastAsia" w:hAnsi="黑体"/>
          <w:b/>
          <w:sz w:val="32"/>
          <w:szCs w:val="32"/>
        </w:rPr>
        <w:t>十三、关于国有资产占用情况说明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截至2020年12月31日，本单位共有车辆0辆。单位价值50万元以上通用设备0台（套）；单位价值100万元以上专用设备0台（套）。</w:t>
      </w:r>
    </w:p>
    <w:p>
      <w:pPr>
        <w:pStyle w:val="9"/>
        <w:rPr>
          <w:rFonts w:hAnsi="黑体"/>
          <w:b/>
          <w:sz w:val="32"/>
          <w:szCs w:val="32"/>
        </w:rPr>
      </w:pPr>
      <w:r>
        <w:rPr>
          <w:rFonts w:hint="eastAsia" w:hAnsi="黑体"/>
          <w:b/>
          <w:sz w:val="32"/>
          <w:szCs w:val="32"/>
        </w:rPr>
        <w:t>十四、关于2020年度预算绩效情况的说明</w:t>
      </w:r>
    </w:p>
    <w:p>
      <w:pPr>
        <w:pStyle w:val="9"/>
        <w:ind w:firstLine="640" w:firstLineChars="200"/>
        <w:rPr>
          <w:rFonts w:hAnsi="黑体"/>
          <w:b/>
          <w:sz w:val="32"/>
          <w:szCs w:val="32"/>
        </w:rPr>
      </w:pPr>
      <w:r>
        <w:rPr>
          <w:rFonts w:hint="eastAsia" w:asciiTheme="minorEastAsia" w:hAnsiTheme="minorEastAsia" w:eastAsiaTheme="minorEastAsia"/>
          <w:sz w:val="32"/>
          <w:szCs w:val="32"/>
        </w:rPr>
        <w:t>详情见附件。</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一、财政拨款收入：指市级财政当年拨付的资金。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二、上级补助收入：指单位从主管部门和上级单位取得的非财政性补助收入。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三、其他收入：指除上述“财政拨款收入”、“上级补助收入”、“事业收入”、“经营收入”、“附属单位上缴收入”等以外的收入。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四、上年结转和结余：指以前年度尚未完成、结转到本年按有关规定继续使用的资金。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五、基本支出：指保障机构正常运转、完成日常工作任务而发生的人员支出和公用支出。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六、项目支出：指在基本支出之外为完成特定行政任务和事业发展目标所发生的支出。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七、“三公”经费：指用财政拨款安排的因公出国（境）费、公务用车购置及运行费和公务接待费。其中，因公出国（境）费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2400" w:firstLineChars="75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岳阳市文学艺术研究所2020年决算公开表</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9751"/>
      <w:docPartObj>
        <w:docPartGallery w:val="AutoText"/>
      </w:docPartObj>
    </w:sdtPr>
    <w:sdtContent>
      <w:p>
        <w:pPr>
          <w:pStyle w:val="3"/>
          <w:jc w:val="center"/>
        </w:pPr>
        <w:r>
          <w:fldChar w:fldCharType="begin"/>
        </w:r>
        <w:r>
          <w:instrText xml:space="preserve"> PAGE   \* MERGEFORMAT </w:instrText>
        </w:r>
        <w:r>
          <w:fldChar w:fldCharType="separate"/>
        </w:r>
        <w:r>
          <w:rPr>
            <w:lang w:val="zh-CN"/>
          </w:rPr>
          <w:t>28</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4NDE1ZTc5N2NhM2Q5MjE1ZDAyNGIzOWQzY2I4MjQifQ=="/>
  </w:docVars>
  <w:rsids>
    <w:rsidRoot w:val="004506F9"/>
    <w:rsid w:val="0000199F"/>
    <w:rsid w:val="0002229B"/>
    <w:rsid w:val="000273BD"/>
    <w:rsid w:val="000415B7"/>
    <w:rsid w:val="00041E3F"/>
    <w:rsid w:val="000528FD"/>
    <w:rsid w:val="00053391"/>
    <w:rsid w:val="00055DAA"/>
    <w:rsid w:val="00061F7B"/>
    <w:rsid w:val="000658A3"/>
    <w:rsid w:val="000660B6"/>
    <w:rsid w:val="00074155"/>
    <w:rsid w:val="000A2F73"/>
    <w:rsid w:val="000A3F69"/>
    <w:rsid w:val="000A443B"/>
    <w:rsid w:val="000E3EB2"/>
    <w:rsid w:val="0010032D"/>
    <w:rsid w:val="001030E7"/>
    <w:rsid w:val="00103957"/>
    <w:rsid w:val="00152C6D"/>
    <w:rsid w:val="00162D39"/>
    <w:rsid w:val="001678BD"/>
    <w:rsid w:val="00185703"/>
    <w:rsid w:val="00185DB4"/>
    <w:rsid w:val="001A02EB"/>
    <w:rsid w:val="001A67DB"/>
    <w:rsid w:val="001B673B"/>
    <w:rsid w:val="001C3C29"/>
    <w:rsid w:val="001C6DE1"/>
    <w:rsid w:val="001D4F1A"/>
    <w:rsid w:val="001D51E5"/>
    <w:rsid w:val="001E080D"/>
    <w:rsid w:val="001E53D0"/>
    <w:rsid w:val="001F0C3B"/>
    <w:rsid w:val="00202C82"/>
    <w:rsid w:val="00205169"/>
    <w:rsid w:val="00210B4D"/>
    <w:rsid w:val="00214427"/>
    <w:rsid w:val="00226CB7"/>
    <w:rsid w:val="0024651D"/>
    <w:rsid w:val="00264552"/>
    <w:rsid w:val="00264D3B"/>
    <w:rsid w:val="00264EF9"/>
    <w:rsid w:val="00265724"/>
    <w:rsid w:val="0027381C"/>
    <w:rsid w:val="0027426B"/>
    <w:rsid w:val="00290ED7"/>
    <w:rsid w:val="002B1B22"/>
    <w:rsid w:val="002D7169"/>
    <w:rsid w:val="002E0A30"/>
    <w:rsid w:val="003130C4"/>
    <w:rsid w:val="00316C4B"/>
    <w:rsid w:val="0032192B"/>
    <w:rsid w:val="00322282"/>
    <w:rsid w:val="003479BD"/>
    <w:rsid w:val="00353197"/>
    <w:rsid w:val="0037197D"/>
    <w:rsid w:val="003768D5"/>
    <w:rsid w:val="00383B20"/>
    <w:rsid w:val="003C47E6"/>
    <w:rsid w:val="003C4FC2"/>
    <w:rsid w:val="003F5111"/>
    <w:rsid w:val="00416E61"/>
    <w:rsid w:val="0042790C"/>
    <w:rsid w:val="00440599"/>
    <w:rsid w:val="004506F9"/>
    <w:rsid w:val="004717A2"/>
    <w:rsid w:val="00473DF3"/>
    <w:rsid w:val="00477149"/>
    <w:rsid w:val="00487911"/>
    <w:rsid w:val="00491741"/>
    <w:rsid w:val="004C66A4"/>
    <w:rsid w:val="004E2715"/>
    <w:rsid w:val="004E58EB"/>
    <w:rsid w:val="00500E5F"/>
    <w:rsid w:val="00507A5E"/>
    <w:rsid w:val="005122EF"/>
    <w:rsid w:val="0051441A"/>
    <w:rsid w:val="00517C33"/>
    <w:rsid w:val="00523644"/>
    <w:rsid w:val="0054069E"/>
    <w:rsid w:val="00541463"/>
    <w:rsid w:val="00544866"/>
    <w:rsid w:val="00544A02"/>
    <w:rsid w:val="005656E8"/>
    <w:rsid w:val="005767CC"/>
    <w:rsid w:val="00590D9F"/>
    <w:rsid w:val="00595D26"/>
    <w:rsid w:val="005A74E6"/>
    <w:rsid w:val="005B404E"/>
    <w:rsid w:val="005B74B2"/>
    <w:rsid w:val="005D4D55"/>
    <w:rsid w:val="005E2CFB"/>
    <w:rsid w:val="005F3D1C"/>
    <w:rsid w:val="00612232"/>
    <w:rsid w:val="0062378F"/>
    <w:rsid w:val="00641842"/>
    <w:rsid w:val="00651EEC"/>
    <w:rsid w:val="00661CB1"/>
    <w:rsid w:val="00691E8C"/>
    <w:rsid w:val="006A22C4"/>
    <w:rsid w:val="006A351B"/>
    <w:rsid w:val="006A554C"/>
    <w:rsid w:val="006B0422"/>
    <w:rsid w:val="006C1B53"/>
    <w:rsid w:val="006D7730"/>
    <w:rsid w:val="006E5284"/>
    <w:rsid w:val="006E7787"/>
    <w:rsid w:val="006F0961"/>
    <w:rsid w:val="006F3EB5"/>
    <w:rsid w:val="00701CF2"/>
    <w:rsid w:val="00702E34"/>
    <w:rsid w:val="00704395"/>
    <w:rsid w:val="00717006"/>
    <w:rsid w:val="00717621"/>
    <w:rsid w:val="00720FF1"/>
    <w:rsid w:val="00723115"/>
    <w:rsid w:val="00727A53"/>
    <w:rsid w:val="00733522"/>
    <w:rsid w:val="00770C9A"/>
    <w:rsid w:val="00785638"/>
    <w:rsid w:val="00787B42"/>
    <w:rsid w:val="00791CDC"/>
    <w:rsid w:val="007A2947"/>
    <w:rsid w:val="007C4539"/>
    <w:rsid w:val="007E7D4B"/>
    <w:rsid w:val="007F3657"/>
    <w:rsid w:val="007F42A6"/>
    <w:rsid w:val="00800B07"/>
    <w:rsid w:val="008119FC"/>
    <w:rsid w:val="00812ED5"/>
    <w:rsid w:val="008277D9"/>
    <w:rsid w:val="00833F3B"/>
    <w:rsid w:val="0083589A"/>
    <w:rsid w:val="0084478C"/>
    <w:rsid w:val="0084547D"/>
    <w:rsid w:val="008607EA"/>
    <w:rsid w:val="0086638C"/>
    <w:rsid w:val="0088065D"/>
    <w:rsid w:val="008A3E8D"/>
    <w:rsid w:val="008B18BF"/>
    <w:rsid w:val="008C2C11"/>
    <w:rsid w:val="00915770"/>
    <w:rsid w:val="009237C4"/>
    <w:rsid w:val="00944C48"/>
    <w:rsid w:val="00950252"/>
    <w:rsid w:val="00956352"/>
    <w:rsid w:val="00967F5D"/>
    <w:rsid w:val="009750A0"/>
    <w:rsid w:val="009A0F95"/>
    <w:rsid w:val="009B3ADF"/>
    <w:rsid w:val="009C3B52"/>
    <w:rsid w:val="009E6817"/>
    <w:rsid w:val="009E6E9A"/>
    <w:rsid w:val="00A01D2B"/>
    <w:rsid w:val="00A27115"/>
    <w:rsid w:val="00A42218"/>
    <w:rsid w:val="00A53BC9"/>
    <w:rsid w:val="00A66A03"/>
    <w:rsid w:val="00A70249"/>
    <w:rsid w:val="00A70B02"/>
    <w:rsid w:val="00A71D9F"/>
    <w:rsid w:val="00A805DF"/>
    <w:rsid w:val="00A917B0"/>
    <w:rsid w:val="00A92E9F"/>
    <w:rsid w:val="00AC23C0"/>
    <w:rsid w:val="00B22D1B"/>
    <w:rsid w:val="00B33BEA"/>
    <w:rsid w:val="00B50510"/>
    <w:rsid w:val="00B57C9F"/>
    <w:rsid w:val="00B63572"/>
    <w:rsid w:val="00B650D2"/>
    <w:rsid w:val="00B845B3"/>
    <w:rsid w:val="00B85D8B"/>
    <w:rsid w:val="00B9762D"/>
    <w:rsid w:val="00BB4A40"/>
    <w:rsid w:val="00BD6C3E"/>
    <w:rsid w:val="00BE1F75"/>
    <w:rsid w:val="00BE3674"/>
    <w:rsid w:val="00BE7CD6"/>
    <w:rsid w:val="00C053C4"/>
    <w:rsid w:val="00C10681"/>
    <w:rsid w:val="00C3049A"/>
    <w:rsid w:val="00C31B1E"/>
    <w:rsid w:val="00C40B07"/>
    <w:rsid w:val="00C77645"/>
    <w:rsid w:val="00C82F6D"/>
    <w:rsid w:val="00C9754D"/>
    <w:rsid w:val="00CE04C3"/>
    <w:rsid w:val="00CE76A0"/>
    <w:rsid w:val="00D05F0E"/>
    <w:rsid w:val="00D06CA9"/>
    <w:rsid w:val="00D148C6"/>
    <w:rsid w:val="00D17A8A"/>
    <w:rsid w:val="00D32F28"/>
    <w:rsid w:val="00D415BA"/>
    <w:rsid w:val="00D644EE"/>
    <w:rsid w:val="00D66831"/>
    <w:rsid w:val="00D676BF"/>
    <w:rsid w:val="00DB0214"/>
    <w:rsid w:val="00DD06FF"/>
    <w:rsid w:val="00DD5FE9"/>
    <w:rsid w:val="00DE14B6"/>
    <w:rsid w:val="00DE5C7E"/>
    <w:rsid w:val="00DF2B25"/>
    <w:rsid w:val="00E00C7A"/>
    <w:rsid w:val="00E15336"/>
    <w:rsid w:val="00E172A1"/>
    <w:rsid w:val="00E354F9"/>
    <w:rsid w:val="00E37D6C"/>
    <w:rsid w:val="00E46E58"/>
    <w:rsid w:val="00E50DA3"/>
    <w:rsid w:val="00E55B68"/>
    <w:rsid w:val="00E661D2"/>
    <w:rsid w:val="00E67BE6"/>
    <w:rsid w:val="00E82B61"/>
    <w:rsid w:val="00E8683C"/>
    <w:rsid w:val="00EA2B72"/>
    <w:rsid w:val="00F14FFB"/>
    <w:rsid w:val="00F74360"/>
    <w:rsid w:val="00FB462F"/>
    <w:rsid w:val="00FD1209"/>
    <w:rsid w:val="00FD42F6"/>
    <w:rsid w:val="00FE16FA"/>
    <w:rsid w:val="00FE328A"/>
    <w:rsid w:val="00FE6269"/>
    <w:rsid w:val="7CB7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B31D-A3E9-42CB-9A91-DF421AA179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6622</Words>
  <Characters>9402</Characters>
  <Lines>94</Lines>
  <Paragraphs>26</Paragraphs>
  <TotalTime>0</TotalTime>
  <ScaleCrop>false</ScaleCrop>
  <LinksUpToDate>false</LinksUpToDate>
  <CharactersWithSpaces>11137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许帝</cp:lastModifiedBy>
  <cp:lastPrinted>2022-06-15T08:22:00Z</cp:lastPrinted>
  <dcterms:modified xsi:type="dcterms:W3CDTF">2022-08-22T01:51:21Z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679260720F4B4D4F9DAC25437F1C6603</vt:lpwstr>
  </property>
</Properties>
</file>