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ascii="仿宋" w:hAnsi="仿宋" w:eastAsia="仿宋"/>
          <w:spacing w:val="-16"/>
          <w:kern w:val="0"/>
          <w:sz w:val="32"/>
          <w:szCs w:val="32"/>
          <w:u w:val="single"/>
        </w:rPr>
        <w:t>岳阳市脱贫县基层全民艺术普及服务提质增效建设项目</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szCs w:val="32"/>
          <w:u w:val="single"/>
        </w:rPr>
        <w:t>岳阳市文化旅游广电局</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湖南省文化和旅游厅</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2022 </w:t>
      </w:r>
      <w:r>
        <w:rPr>
          <w:rFonts w:hint="eastAsia" w:eastAsia="仿宋_GB2312"/>
          <w:sz w:val="32"/>
        </w:rPr>
        <w:t>年</w:t>
      </w:r>
      <w:r>
        <w:rPr>
          <w:rFonts w:hint="eastAsia" w:eastAsia="仿宋_GB2312"/>
          <w:sz w:val="32"/>
          <w:lang w:val="en-US" w:eastAsia="zh-CN"/>
        </w:rPr>
        <w:t xml:space="preserve"> 6 </w:t>
      </w:r>
      <w:r>
        <w:rPr>
          <w:rFonts w:hint="eastAsia" w:eastAsia="仿宋_GB2312"/>
          <w:sz w:val="32"/>
        </w:rPr>
        <w:t>月</w:t>
      </w:r>
      <w:r>
        <w:rPr>
          <w:rFonts w:hint="eastAsia" w:eastAsia="仿宋_GB2312"/>
          <w:sz w:val="32"/>
          <w:lang w:val="en-US" w:eastAsia="zh-CN"/>
        </w:rPr>
        <w:t xml:space="preserve"> 15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12"/>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val="en-US" w:eastAsia="zh-CN"/>
              </w:rPr>
              <w:t>张军建</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hint="eastAsia" w:eastAsia="仿宋_GB2312"/>
                <w:sz w:val="24"/>
              </w:rPr>
              <w:t>180 7302 1185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eastAsia" w:eastAsia="仿宋_GB2312"/>
                <w:sz w:val="24"/>
                <w:lang w:eastAsia="zh-CN"/>
              </w:rPr>
            </w:pPr>
            <w:r>
              <w:rPr>
                <w:rFonts w:hint="eastAsia" w:eastAsia="仿宋_GB2312"/>
                <w:sz w:val="24"/>
              </w:rPr>
              <w:t>岳阳市</w:t>
            </w:r>
            <w:r>
              <w:rPr>
                <w:rFonts w:hint="eastAsia" w:eastAsia="仿宋_GB2312"/>
                <w:sz w:val="24"/>
                <w:lang w:val="en-US" w:eastAsia="zh-CN"/>
              </w:rPr>
              <w:t>文化旅游广电局</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rPr>
              <w:t>2021年</w:t>
            </w:r>
            <w:r>
              <w:rPr>
                <w:rFonts w:hint="eastAsia" w:eastAsia="仿宋_GB2312"/>
                <w:sz w:val="24"/>
                <w:lang w:val="en-US" w:eastAsia="zh-CN"/>
              </w:rPr>
              <w:t>3</w:t>
            </w:r>
            <w:r>
              <w:rPr>
                <w:rFonts w:hint="eastAsia" w:eastAsia="仿宋_GB2312"/>
                <w:sz w:val="24"/>
              </w:rPr>
              <w:t>月-</w:t>
            </w:r>
            <w:r>
              <w:rPr>
                <w:rFonts w:hint="eastAsia" w:eastAsia="仿宋_GB2312"/>
                <w:sz w:val="24"/>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20</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20</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w:t>
            </w: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eastAsia" w:eastAsia="仿宋_GB2312"/>
                <w:sz w:val="24"/>
                <w:lang w:val="en-US" w:eastAsia="zh-CN"/>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支付脱贫县基层全民艺术普及服务提质增效建设项目资金</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200000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2021.12.155#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p>
        </w:tc>
        <w:tc>
          <w:tcPr>
            <w:tcW w:w="1941" w:type="dxa"/>
            <w:gridSpan w:val="2"/>
            <w:tcBorders>
              <w:bottom w:val="single" w:color="auto" w:sz="4" w:space="0"/>
            </w:tcBorders>
            <w:vAlign w:val="center"/>
          </w:tcPr>
          <w:p>
            <w:pPr>
              <w:jc w:val="both"/>
              <w:rPr>
                <w:rFonts w:hint="default" w:eastAsia="仿宋_GB2312"/>
                <w:sz w:val="24"/>
                <w:lang w:val="en-US" w:eastAsia="zh-CN"/>
              </w:rPr>
            </w:pPr>
          </w:p>
        </w:tc>
        <w:tc>
          <w:tcPr>
            <w:tcW w:w="2595" w:type="dxa"/>
            <w:gridSpan w:val="6"/>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200000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eastAsia="仿宋_GB2312"/>
                <w:b/>
                <w:sz w:val="24"/>
              </w:rPr>
            </w:pPr>
            <w:r>
              <w:rPr>
                <w:rFonts w:hint="eastAsia" w:ascii="仿宋" w:hAnsi="仿宋" w:eastAsia="仿宋"/>
                <w:color w:val="000000"/>
                <w:kern w:val="0"/>
                <w:sz w:val="24"/>
                <w:szCs w:val="24"/>
              </w:rPr>
              <w:t>此次脱贫县基层全民艺术普及服务提质增效建设项目，旨在为平江县提供基层全民艺术普及服务。依托于文旅云平台，通过直录播、新媒体宣传与推广、更新场馆信息、艺术普及课程、文创产品、培训等线上线下基层推广活动，充分激活数字文化资源和服务，让基层群众百姓实实在在享受优质公共文化服务。</w:t>
            </w:r>
          </w:p>
        </w:tc>
        <w:tc>
          <w:tcPr>
            <w:tcW w:w="2783" w:type="dxa"/>
            <w:gridSpan w:val="3"/>
            <w:tcBorders>
              <w:bottom w:val="single" w:color="auto" w:sz="4" w:space="0"/>
            </w:tcBorders>
            <w:vAlign w:val="center"/>
          </w:tcPr>
          <w:p>
            <w:pPr>
              <w:jc w:val="left"/>
              <w:rPr>
                <w:rFonts w:hint="default" w:eastAsia="仿宋_GB2312"/>
                <w:b/>
                <w:sz w:val="24"/>
                <w:lang w:val="en-US" w:eastAsia="zh-CN"/>
              </w:rPr>
            </w:pPr>
            <w:r>
              <w:rPr>
                <w:rFonts w:hint="eastAsia" w:ascii="仿宋" w:hAnsi="仿宋" w:eastAsia="仿宋"/>
                <w:color w:val="000000"/>
                <w:kern w:val="0"/>
                <w:sz w:val="24"/>
                <w:szCs w:val="24"/>
              </w:rPr>
              <w:t>本项目已完成两场基层直录播活动——“百年颂歌献给党”、“百团百角唱百年”，一场新媒体宣传与推广服务活动“全民健身·平江太极汇”，更新与推送在线场馆及活动信息80条，建设全民艺术普及课程10门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ascii="仿宋" w:hAnsi="仿宋" w:eastAsia="仿宋"/>
                <w:color w:val="000000"/>
                <w:kern w:val="0"/>
                <w:sz w:val="24"/>
                <w:szCs w:val="24"/>
              </w:rPr>
              <w:t>指标1：活动时间</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 w:hAnsi="仿宋" w:eastAsia="仿宋" w:cs="宋体"/>
                <w:bCs/>
                <w:kern w:val="0"/>
                <w:sz w:val="24"/>
              </w:rPr>
              <w:t>≥30天</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ascii="仿宋" w:hAnsi="仿宋" w:eastAsia="仿宋"/>
                <w:color w:val="000000"/>
                <w:kern w:val="0"/>
                <w:sz w:val="24"/>
                <w:szCs w:val="24"/>
              </w:rPr>
              <w:t>指标2：主体活动</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≥3大活动</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指标4：线下参与活动人数</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≥10000人</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指标5：线上线下活动受益人数</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≥10万</w:t>
            </w:r>
            <w:r>
              <w:rPr>
                <w:rFonts w:hint="eastAsia" w:ascii="仿宋" w:hAnsi="仿宋" w:eastAsia="仿宋" w:cs="MS Mincho"/>
                <w:bCs/>
                <w:kern w:val="0"/>
                <w:sz w:val="24"/>
              </w:rPr>
              <w:t>人</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ascii="仿宋" w:hAnsi="仿宋" w:eastAsia="仿宋"/>
                <w:color w:val="000000"/>
                <w:kern w:val="0"/>
                <w:sz w:val="24"/>
                <w:szCs w:val="24"/>
              </w:rPr>
              <w:t>指标1：活动开展质量</w:t>
            </w:r>
          </w:p>
        </w:tc>
        <w:tc>
          <w:tcPr>
            <w:tcW w:w="1220"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好</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ascii="仿宋" w:hAnsi="仿宋" w:eastAsia="仿宋"/>
                <w:color w:val="000000"/>
                <w:kern w:val="0"/>
                <w:sz w:val="24"/>
                <w:szCs w:val="24"/>
              </w:rPr>
              <w:t>指标1：活动按时完成率</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 w:hAnsi="仿宋" w:eastAsia="仿宋"/>
                <w:color w:val="000000"/>
                <w:sz w:val="24"/>
                <w:szCs w:val="24"/>
              </w:rPr>
              <w:t>≥100%</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ascii="仿宋" w:hAnsi="仿宋" w:eastAsia="仿宋"/>
                <w:sz w:val="24"/>
                <w:szCs w:val="24"/>
              </w:rPr>
              <w:t>两场基层直录播活动</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 w:hAnsi="仿宋" w:eastAsia="仿宋" w:cs="宋体"/>
                <w:bCs/>
                <w:kern w:val="0"/>
                <w:sz w:val="24"/>
                <w:lang w:val="en-US" w:eastAsia="zh-CN"/>
              </w:rPr>
              <w:t>2场</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ascii="仿宋" w:hAnsi="仿宋" w:eastAsia="仿宋" w:cs="宋体"/>
                <w:bCs/>
                <w:kern w:val="0"/>
                <w:sz w:val="24"/>
                <w:lang w:val="en-US" w:eastAsia="zh-CN"/>
              </w:rPr>
              <w:t>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新媒体宣传与推广服务活动</w:t>
            </w:r>
          </w:p>
        </w:tc>
        <w:tc>
          <w:tcPr>
            <w:tcW w:w="1220"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1场</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lang w:val="en-US" w:eastAsia="zh-CN"/>
              </w:rPr>
              <w:t>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更新与推送在线场馆及活动信息</w:t>
            </w:r>
          </w:p>
        </w:tc>
        <w:tc>
          <w:tcPr>
            <w:tcW w:w="1220"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120条</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lang w:val="en-US" w:eastAsia="zh-CN"/>
              </w:rPr>
              <w:t>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全民艺术普及课程线上服务及预订</w:t>
            </w:r>
          </w:p>
        </w:tc>
        <w:tc>
          <w:tcPr>
            <w:tcW w:w="1220"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12门</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lang w:val="en-US" w:eastAsia="zh-CN"/>
              </w:rPr>
              <w:t>不超预算</w:t>
            </w:r>
            <w:r>
              <w:rPr>
                <w:rFonts w:hint="eastAsia" w:ascii="仿宋" w:hAnsi="仿宋" w:eastAsia="仿宋" w:cs="宋体"/>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基层文创、非遗等产品</w:t>
            </w:r>
          </w:p>
        </w:tc>
        <w:tc>
          <w:tcPr>
            <w:tcW w:w="1220"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60个</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lang w:val="en-US" w:eastAsia="zh-CN"/>
              </w:rPr>
              <w:t>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业务骨干培训</w:t>
            </w:r>
          </w:p>
        </w:tc>
        <w:tc>
          <w:tcPr>
            <w:tcW w:w="1220"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28人</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lang w:val="en-US" w:eastAsia="zh-CN"/>
              </w:rPr>
              <w:t>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ascii="仿宋" w:hAnsi="仿宋" w:eastAsia="仿宋" w:cs="Times New Roman"/>
                <w:color w:val="000000"/>
                <w:kern w:val="0"/>
                <w:sz w:val="21"/>
                <w:szCs w:val="24"/>
                <w:lang w:val="en-US" w:eastAsia="zh-CN" w:bidi="ar-SA"/>
              </w:rPr>
            </w:pPr>
            <w:r>
              <w:rPr>
                <w:rFonts w:hint="eastAsia" w:ascii="仿宋" w:hAnsi="仿宋" w:eastAsia="仿宋" w:cs="宋体"/>
                <w:color w:val="000000" w:themeColor="text1"/>
                <w:kern w:val="0"/>
                <w:sz w:val="24"/>
                <w14:textFill>
                  <w14:solidFill>
                    <w14:schemeClr w14:val="tx1"/>
                  </w14:solidFill>
                </w14:textFill>
              </w:rPr>
              <w:t>释放</w:t>
            </w:r>
            <w:r>
              <w:rPr>
                <w:rFonts w:hint="eastAsia" w:ascii="仿宋" w:hAnsi="仿宋" w:eastAsia="仿宋" w:cs="宋体"/>
                <w:color w:val="000000" w:themeColor="text1"/>
                <w:kern w:val="0"/>
                <w:sz w:val="24"/>
                <w:lang w:val="en-US" w:eastAsia="zh-CN"/>
                <w14:textFill>
                  <w14:solidFill>
                    <w14:schemeClr w14:val="tx1"/>
                  </w14:solidFill>
                </w14:textFill>
              </w:rPr>
              <w:t>文化</w:t>
            </w:r>
            <w:r>
              <w:rPr>
                <w:rFonts w:hint="eastAsia" w:ascii="仿宋" w:hAnsi="仿宋" w:eastAsia="仿宋" w:cs="宋体"/>
                <w:color w:val="000000" w:themeColor="text1"/>
                <w:kern w:val="0"/>
                <w:sz w:val="24"/>
                <w14:textFill>
                  <w14:solidFill>
                    <w14:schemeClr w14:val="tx1"/>
                  </w14:solidFill>
                </w14:textFill>
              </w:rPr>
              <w:t>消费潜力</w:t>
            </w:r>
          </w:p>
        </w:tc>
        <w:tc>
          <w:tcPr>
            <w:tcW w:w="1220" w:type="dxa"/>
            <w:gridSpan w:val="3"/>
            <w:tcBorders>
              <w:bottom w:val="single" w:color="auto" w:sz="4" w:space="0"/>
            </w:tcBorders>
            <w:vAlign w:val="center"/>
          </w:tcPr>
          <w:p>
            <w:pPr>
              <w:spacing w:line="440" w:lineRule="exact"/>
              <w:rPr>
                <w:rFonts w:hint="default" w:ascii="仿宋" w:hAnsi="仿宋" w:eastAsia="仿宋" w:cs="Times New Roman"/>
                <w:color w:val="000000"/>
                <w:kern w:val="2"/>
                <w:sz w:val="21"/>
                <w:szCs w:val="24"/>
                <w:lang w:val="en-US" w:eastAsia="zh-CN" w:bidi="ar-SA"/>
              </w:rPr>
            </w:pPr>
            <w:r>
              <w:rPr>
                <w:rFonts w:hint="eastAsia" w:ascii="仿宋" w:hAnsi="仿宋" w:eastAsia="仿宋" w:cs="Times New Roman"/>
                <w:color w:val="000000"/>
                <w:kern w:val="2"/>
                <w:sz w:val="21"/>
                <w:szCs w:val="24"/>
                <w:lang w:val="en-US" w:eastAsia="zh-CN" w:bidi="ar-SA"/>
              </w:rPr>
              <w:t>优</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促进</w:t>
            </w:r>
            <w:r>
              <w:rPr>
                <w:rFonts w:hint="eastAsia" w:ascii="仿宋" w:hAnsi="仿宋" w:eastAsia="仿宋"/>
                <w:color w:val="000000"/>
                <w:kern w:val="0"/>
                <w:sz w:val="24"/>
                <w:szCs w:val="24"/>
                <w:lang w:val="en-US" w:eastAsia="zh-CN"/>
              </w:rPr>
              <w:t>公共文化服务体系建设</w:t>
            </w:r>
          </w:p>
        </w:tc>
        <w:tc>
          <w:tcPr>
            <w:tcW w:w="1220" w:type="dxa"/>
            <w:gridSpan w:val="3"/>
            <w:tcBorders>
              <w:bottom w:val="single" w:color="auto" w:sz="4" w:space="0"/>
            </w:tcBorders>
            <w:vAlign w:val="center"/>
          </w:tcPr>
          <w:p>
            <w:pPr>
              <w:spacing w:line="440" w:lineRule="exact"/>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达到</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440" w:lineRule="exact"/>
              <w:jc w:val="left"/>
              <w:textAlignment w:val="center"/>
              <w:rPr>
                <w:rFonts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提高本地人文生态环境</w:t>
            </w:r>
          </w:p>
        </w:tc>
        <w:tc>
          <w:tcPr>
            <w:tcW w:w="1220" w:type="dxa"/>
            <w:gridSpan w:val="3"/>
            <w:tcBorders>
              <w:bottom w:val="single" w:color="auto" w:sz="4" w:space="0"/>
            </w:tcBorders>
            <w:vAlign w:val="center"/>
          </w:tcPr>
          <w:p>
            <w:pPr>
              <w:spacing w:line="440" w:lineRule="exact"/>
              <w:rPr>
                <w:rFonts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达到</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服务对象满意度指标</w:t>
            </w:r>
          </w:p>
        </w:tc>
        <w:tc>
          <w:tcPr>
            <w:tcW w:w="1220" w:type="dxa"/>
            <w:gridSpan w:val="3"/>
            <w:tcBorders>
              <w:bottom w:val="single" w:color="auto" w:sz="4" w:space="0"/>
            </w:tcBorders>
            <w:vAlign w:val="center"/>
          </w:tcPr>
          <w:p>
            <w:pPr>
              <w:spacing w:line="440" w:lineRule="exact"/>
              <w:rPr>
                <w:rFonts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大于等于95%</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ind w:firstLine="2640" w:firstLineChars="1100"/>
              <w:rPr>
                <w:rFonts w:hint="default" w:eastAsia="仿宋_GB2312"/>
                <w:sz w:val="24"/>
                <w:lang w:val="en-US" w:eastAsia="zh-CN"/>
              </w:rPr>
            </w:pPr>
            <w:r>
              <w:rPr>
                <w:rFonts w:hint="eastAsia" w:eastAsia="仿宋_GB2312"/>
                <w:sz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 xml:space="preserve">                      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余国荣</w:t>
            </w:r>
          </w:p>
        </w:tc>
        <w:tc>
          <w:tcPr>
            <w:tcW w:w="2332"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副局长、总工程师</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田军</w:t>
            </w:r>
          </w:p>
        </w:tc>
        <w:tc>
          <w:tcPr>
            <w:tcW w:w="2332"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财务科长</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孟日清</w:t>
            </w:r>
          </w:p>
        </w:tc>
        <w:tc>
          <w:tcPr>
            <w:tcW w:w="2332"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办公室主任</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蒋亚潼</w:t>
            </w:r>
          </w:p>
        </w:tc>
        <w:tc>
          <w:tcPr>
            <w:tcW w:w="2332"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会计</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45"/>
              <w:jc w:val="left"/>
              <w:rPr>
                <w:rFonts w:hint="eastAsia" w:ascii="仿宋" w:hAnsi="仿宋" w:eastAsia="仿宋"/>
                <w:sz w:val="32"/>
                <w:szCs w:val="32"/>
              </w:rPr>
            </w:pPr>
            <w:r>
              <w:rPr>
                <w:rFonts w:hint="eastAsia" w:ascii="仿宋" w:hAnsi="仿宋" w:eastAsia="仿宋"/>
                <w:sz w:val="32"/>
                <w:szCs w:val="32"/>
              </w:rPr>
              <w:t>此次脱贫县基层全民艺术普及服务提质增效建设项目，旨在为平江县提供基层全民艺术普及服务。依托于文旅云平台，通过直录播、新媒体宣传与推广、更新场馆信息、艺术普及课程、文创产品、培训等线上线下基层推广活动，充分激活数字文化资源和服务，让基层群众百姓实实在在享受优质公共文化服务。截止到今天（2021年10月20日）为止，本项目已完成两场基层直录播活动——“百年颂歌献给党”、“百团百角唱百年”，一场新媒体宣传与推广服务活动“全民健身·平江太极汇”，更新与推送在线场馆及活动信息80条，建设全民艺术普及课程10门，具体建设情况如下所示</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按要求完成。</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ind w:firstLine="640" w:firstLineChars="200"/>
              <w:rPr>
                <w:rFonts w:hint="eastAsia" w:ascii="仿宋_GB2312" w:eastAsia="仿宋_GB2312"/>
                <w:sz w:val="30"/>
                <w:szCs w:val="30"/>
              </w:rPr>
            </w:pPr>
            <w:r>
              <w:rPr>
                <w:rFonts w:hint="eastAsia" w:ascii="仿宋_GB2312" w:eastAsia="仿宋_GB2312"/>
                <w:sz w:val="32"/>
                <w:szCs w:val="32"/>
              </w:rPr>
              <w:t>实行专项管理，严格按照财政等行政管理部门的要求实行专项管理。一直以来，管理规范，全部用于</w:t>
            </w:r>
            <w:r>
              <w:rPr>
                <w:rFonts w:hint="eastAsia" w:ascii="仿宋_GB2312" w:eastAsia="仿宋_GB2312"/>
                <w:sz w:val="32"/>
                <w:szCs w:val="32"/>
                <w:lang w:val="en-US" w:eastAsia="zh-CN"/>
              </w:rPr>
              <w:t>本项目支出</w:t>
            </w:r>
            <w:r>
              <w:rPr>
                <w:rFonts w:hint="eastAsia" w:ascii="仿宋_GB2312" w:eastAsia="仿宋_GB2312"/>
                <w:sz w:val="32"/>
                <w:szCs w:val="32"/>
              </w:rPr>
              <w:t>，从未挪做他用。</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tbl>
            <w:tblPr>
              <w:tblStyle w:val="13"/>
              <w:tblW w:w="6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87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序号</w:t>
                  </w:r>
                </w:p>
              </w:tc>
              <w:tc>
                <w:tcPr>
                  <w:tcW w:w="3875" w:type="dxa"/>
                  <w:vAlign w:val="center"/>
                </w:tcPr>
                <w:p>
                  <w:pPr>
                    <w:tabs>
                      <w:tab w:val="left" w:pos="2043"/>
                    </w:tabs>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服务内容</w:t>
                  </w:r>
                </w:p>
              </w:tc>
              <w:tc>
                <w:tcPr>
                  <w:tcW w:w="132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1</w:t>
                  </w:r>
                </w:p>
              </w:tc>
              <w:tc>
                <w:tcPr>
                  <w:tcW w:w="387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基层直录播活动</w:t>
                  </w:r>
                </w:p>
              </w:tc>
              <w:tc>
                <w:tcPr>
                  <w:tcW w:w="132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2</w:t>
                  </w:r>
                </w:p>
              </w:tc>
              <w:tc>
                <w:tcPr>
                  <w:tcW w:w="387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新媒体宣传与推广服务活动</w:t>
                  </w:r>
                </w:p>
              </w:tc>
              <w:tc>
                <w:tcPr>
                  <w:tcW w:w="1325" w:type="dxa"/>
                  <w:vAlign w:val="center"/>
                </w:tcPr>
                <w:p>
                  <w:pPr>
                    <w:spacing w:before="156" w:beforeLines="50" w:after="156" w:afterLines="50" w:line="360" w:lineRule="auto"/>
                    <w:jc w:val="center"/>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3</w:t>
                  </w:r>
                </w:p>
              </w:tc>
              <w:tc>
                <w:tcPr>
                  <w:tcW w:w="387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更新与推送在线场馆及活动信息</w:t>
                  </w:r>
                </w:p>
              </w:tc>
              <w:tc>
                <w:tcPr>
                  <w:tcW w:w="1325" w:type="dxa"/>
                  <w:vAlign w:val="center"/>
                </w:tcPr>
                <w:p>
                  <w:pPr>
                    <w:spacing w:before="156" w:beforeLines="50" w:after="156" w:afterLines="50" w:line="360" w:lineRule="auto"/>
                    <w:jc w:val="center"/>
                    <w:rPr>
                      <w:rFonts w:ascii="宋体" w:hAnsi="宋体" w:eastAsia="宋体" w:cs="宋体"/>
                      <w:sz w:val="24"/>
                    </w:rPr>
                  </w:pPr>
                  <w:r>
                    <w:rPr>
                      <w:rFonts w:ascii="宋体" w:hAnsi="宋体" w:eastAsia="宋体" w:cs="宋体"/>
                      <w:sz w:val="24"/>
                    </w:rPr>
                    <w:t>12</w:t>
                  </w:r>
                  <w:r>
                    <w:rPr>
                      <w:rFonts w:hint="eastAsia" w:ascii="宋体" w:hAnsi="宋体" w:eastAsia="宋体" w:cs="宋体"/>
                      <w:sz w:val="24"/>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4</w:t>
                  </w:r>
                </w:p>
              </w:tc>
              <w:tc>
                <w:tcPr>
                  <w:tcW w:w="387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全民艺术普及课程线上服务及预订</w:t>
                  </w:r>
                </w:p>
              </w:tc>
              <w:tc>
                <w:tcPr>
                  <w:tcW w:w="1325" w:type="dxa"/>
                  <w:vAlign w:val="center"/>
                </w:tcPr>
                <w:p>
                  <w:pPr>
                    <w:spacing w:before="156" w:beforeLines="50" w:after="156" w:afterLines="50" w:line="360" w:lineRule="auto"/>
                    <w:jc w:val="center"/>
                    <w:rPr>
                      <w:rFonts w:ascii="宋体" w:hAnsi="宋体" w:eastAsia="宋体" w:cs="宋体"/>
                      <w:sz w:val="24"/>
                    </w:rPr>
                  </w:pPr>
                  <w:r>
                    <w:rPr>
                      <w:rFonts w:ascii="宋体" w:hAnsi="宋体" w:eastAsia="宋体" w:cs="宋体"/>
                      <w:sz w:val="24"/>
                    </w:rPr>
                    <w:t>12</w:t>
                  </w:r>
                  <w:r>
                    <w:rPr>
                      <w:rFonts w:hint="eastAsia" w:ascii="宋体" w:hAnsi="宋体" w:eastAsia="宋体" w:cs="宋体"/>
                      <w:sz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5</w:t>
                  </w:r>
                </w:p>
              </w:tc>
              <w:tc>
                <w:tcPr>
                  <w:tcW w:w="387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基层文创、非遗等产品</w:t>
                  </w:r>
                </w:p>
              </w:tc>
              <w:tc>
                <w:tcPr>
                  <w:tcW w:w="1325" w:type="dxa"/>
                  <w:vAlign w:val="center"/>
                </w:tcPr>
                <w:p>
                  <w:pPr>
                    <w:spacing w:before="156" w:beforeLines="50" w:after="156" w:afterLines="50" w:line="360" w:lineRule="auto"/>
                    <w:jc w:val="center"/>
                    <w:rPr>
                      <w:rFonts w:ascii="宋体" w:hAnsi="宋体" w:eastAsia="宋体" w:cs="宋体"/>
                      <w:sz w:val="24"/>
                    </w:rPr>
                  </w:pPr>
                  <w:r>
                    <w:rPr>
                      <w:rFonts w:ascii="宋体" w:hAnsi="宋体" w:eastAsia="宋体" w:cs="宋体"/>
                      <w:sz w:val="24"/>
                    </w:rPr>
                    <w:t>60</w:t>
                  </w: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6</w:t>
                  </w:r>
                </w:p>
              </w:tc>
              <w:tc>
                <w:tcPr>
                  <w:tcW w:w="3875"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业务骨干培训</w:t>
                  </w:r>
                </w:p>
              </w:tc>
              <w:tc>
                <w:tcPr>
                  <w:tcW w:w="1325" w:type="dxa"/>
                  <w:vAlign w:val="center"/>
                </w:tcPr>
                <w:p>
                  <w:pPr>
                    <w:spacing w:before="156" w:beforeLines="50" w:after="156" w:afterLines="50" w:line="360" w:lineRule="auto"/>
                    <w:jc w:val="center"/>
                    <w:rPr>
                      <w:rFonts w:ascii="宋体" w:hAnsi="宋体" w:eastAsia="宋体" w:cs="宋体"/>
                      <w:sz w:val="24"/>
                    </w:rPr>
                  </w:pPr>
                  <w:r>
                    <w:rPr>
                      <w:rFonts w:ascii="宋体" w:hAnsi="宋体" w:eastAsia="宋体" w:cs="宋体"/>
                      <w:sz w:val="24"/>
                    </w:rPr>
                    <w:t>28</w:t>
                  </w:r>
                  <w:r>
                    <w:rPr>
                      <w:rFonts w:hint="eastAsia" w:ascii="宋体" w:hAnsi="宋体" w:eastAsia="宋体" w:cs="宋体"/>
                      <w:sz w:val="24"/>
                    </w:rPr>
                    <w:t>人</w:t>
                  </w:r>
                </w:p>
              </w:tc>
            </w:tr>
          </w:tbl>
          <w:p>
            <w:pPr>
              <w:ind w:firstLine="600" w:firstLineChars="200"/>
              <w:rPr>
                <w:rFonts w:hint="eastAsia" w:ascii="仿宋_GB2312" w:hAnsi="黑体" w:eastAsia="仿宋_GB2312"/>
                <w:sz w:val="30"/>
                <w:szCs w:val="30"/>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对于弘扬中国传统文化、提高人类生活质量、弘扬民族传统美德、增强社会凝聚力、构建和谐社会具有十分重要的意义。为了充分体现中华民族的传统美德和高尚的道德情操，提高平江县群众的思想素养，加强道德修养，提高民众对中国传统的兴趣。</w:t>
            </w:r>
          </w:p>
          <w:tbl>
            <w:tblPr>
              <w:tblStyle w:val="13"/>
              <w:tblpPr w:leftFromText="180" w:rightFromText="180" w:vertAnchor="text" w:horzAnchor="page" w:tblpXSpec="center" w:tblpY="614"/>
              <w:tblOverlap w:val="neve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15"/>
              <w:gridCol w:w="3544"/>
              <w:gridCol w:w="850"/>
              <w:gridCol w:w="7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6"/>
                    <w:adjustRightInd w:val="0"/>
                    <w:snapToGrid w:val="0"/>
                    <w:spacing w:before="156" w:beforeLines="50" w:after="156" w:afterLines="50" w:line="360" w:lineRule="auto"/>
                    <w:jc w:val="center"/>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序号</w:t>
                  </w:r>
                </w:p>
              </w:tc>
              <w:tc>
                <w:tcPr>
                  <w:tcW w:w="1315" w:type="dxa"/>
                  <w:vAlign w:val="center"/>
                </w:tcPr>
                <w:p>
                  <w:pPr>
                    <w:pStyle w:val="6"/>
                    <w:adjustRightInd w:val="0"/>
                    <w:snapToGrid w:val="0"/>
                    <w:spacing w:before="156" w:beforeLines="50" w:after="156" w:afterLines="50" w:line="360" w:lineRule="auto"/>
                    <w:jc w:val="center"/>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活动主题</w:t>
                  </w:r>
                </w:p>
              </w:tc>
              <w:tc>
                <w:tcPr>
                  <w:tcW w:w="3544" w:type="dxa"/>
                  <w:vAlign w:val="center"/>
                </w:tcPr>
                <w:p>
                  <w:pPr>
                    <w:pStyle w:val="6"/>
                    <w:adjustRightInd w:val="0"/>
                    <w:snapToGrid w:val="0"/>
                    <w:spacing w:before="156" w:beforeLines="50" w:after="156" w:afterLines="50" w:line="360" w:lineRule="auto"/>
                    <w:jc w:val="center"/>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活动简介</w:t>
                  </w:r>
                </w:p>
              </w:tc>
              <w:tc>
                <w:tcPr>
                  <w:tcW w:w="850" w:type="dxa"/>
                  <w:vAlign w:val="center"/>
                </w:tcPr>
                <w:p>
                  <w:pPr>
                    <w:pStyle w:val="6"/>
                    <w:adjustRightInd w:val="0"/>
                    <w:snapToGrid w:val="0"/>
                    <w:spacing w:before="156" w:beforeLines="50" w:after="156" w:afterLines="50" w:line="360" w:lineRule="auto"/>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活动地点</w:t>
                  </w:r>
                </w:p>
              </w:tc>
              <w:tc>
                <w:tcPr>
                  <w:tcW w:w="709" w:type="dxa"/>
                  <w:vAlign w:val="center"/>
                </w:tcPr>
                <w:p>
                  <w:pPr>
                    <w:pStyle w:val="6"/>
                    <w:adjustRightInd w:val="0"/>
                    <w:snapToGrid w:val="0"/>
                    <w:spacing w:before="156" w:beforeLines="50" w:after="156" w:afterLines="50" w:line="360" w:lineRule="auto"/>
                    <w:jc w:val="center"/>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直录播形式</w:t>
                  </w:r>
                </w:p>
              </w:tc>
              <w:tc>
                <w:tcPr>
                  <w:tcW w:w="2977" w:type="dxa"/>
                  <w:vAlign w:val="center"/>
                </w:tcPr>
                <w:p>
                  <w:pPr>
                    <w:pStyle w:val="6"/>
                    <w:adjustRightInd w:val="0"/>
                    <w:snapToGrid w:val="0"/>
                    <w:spacing w:before="156" w:beforeLines="50" w:after="156" w:afterLines="50" w:line="360" w:lineRule="auto"/>
                    <w:jc w:val="center"/>
                    <w:rPr>
                      <w:rFonts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活动照片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6"/>
                    <w:adjustRightInd w:val="0"/>
                    <w:snapToGrid w:val="0"/>
                    <w:spacing w:before="156" w:beforeLines="50" w:after="156" w:afterLines="50" w:line="360" w:lineRule="auto"/>
                    <w:jc w:val="center"/>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w:t>
                  </w:r>
                </w:p>
              </w:tc>
              <w:tc>
                <w:tcPr>
                  <w:tcW w:w="1315" w:type="dxa"/>
                  <w:vAlign w:val="center"/>
                </w:tcPr>
                <w:p>
                  <w:pPr>
                    <w:spacing w:before="156" w:beforeLines="50" w:after="156" w:afterLines="50" w:line="360" w:lineRule="auto"/>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shd w:val="clear" w:color="auto" w:fill="FFFFFF"/>
                    </w:rPr>
                    <w:t>百年颂歌献给党</w:t>
                  </w:r>
                </w:p>
              </w:tc>
              <w:tc>
                <w:tcPr>
                  <w:tcW w:w="3544" w:type="dxa"/>
                </w:tcPr>
                <w:p>
                  <w:pPr>
                    <w:spacing w:before="156" w:beforeLines="50" w:after="156" w:afterLines="50" w:line="360" w:lineRule="auto"/>
                    <w:jc w:val="left"/>
                    <w:rPr>
                      <w:rFonts w:ascii="Times New Roman" w:hAnsi="Times New Roman" w:cs="Times New Roman"/>
                      <w:sz w:val="24"/>
                    </w:rPr>
                  </w:pPr>
                  <w:r>
                    <w:rPr>
                      <w:rFonts w:hint="eastAsia" w:ascii="Times New Roman" w:hAnsi="Times New Roman" w:cs="Times New Roman"/>
                      <w:sz w:val="24"/>
                    </w:rPr>
                    <w:t>以习近平新时代中国特色社会主义思想为指导，全面贯彻党的十九大和十九届四中、五中全会精神，围绕建党1</w:t>
                  </w:r>
                  <w:r>
                    <w:rPr>
                      <w:rFonts w:ascii="Times New Roman" w:hAnsi="Times New Roman" w:cs="Times New Roman"/>
                      <w:sz w:val="24"/>
                    </w:rPr>
                    <w:t>00</w:t>
                  </w:r>
                  <w:r>
                    <w:rPr>
                      <w:rFonts w:hint="eastAsia" w:ascii="Times New Roman" w:hAnsi="Times New Roman" w:cs="Times New Roman"/>
                      <w:sz w:val="24"/>
                    </w:rPr>
                    <w:t>周年这条主线，强化党史学习教育，全面展现中国共产党带领全国各族人民同心同德、砥砺前行所取得的辉煌成就；大力弘扬以爱党、爱国为核心的伟大民族精神，在全社会唱响时代主旋律，激发爱党、爱国热情，凝聚人民力量；集中展示全县人民干事创业、奋发向上的精神风貌，大力营造万众一心、共同追梦的浓厚社会氛围，为加快我县“一城四区”建设，推动由贫转强跨越发展，贡献群众文艺力量。本次活动以唱响“</w:t>
                  </w:r>
                  <w:r>
                    <w:rPr>
                      <w:rFonts w:ascii="Times New Roman" w:hAnsi="Times New Roman" w:cs="Times New Roman"/>
                      <w:sz w:val="24"/>
                    </w:rPr>
                    <w:t xml:space="preserve"> </w:t>
                  </w:r>
                  <w:r>
                    <w:rPr>
                      <w:rFonts w:hint="eastAsia" w:ascii="Times New Roman" w:hAnsi="Times New Roman" w:cs="Times New Roman"/>
                      <w:sz w:val="24"/>
                    </w:rPr>
                    <w:t>爱党爱国爱社会主义”为主旋律，抒发全县广大干部群众永远听党话、跟党走的真挚情感和对中华民族伟大复兴中国梦的热切期盼，激励平江儿女逐梦新征程、出彩新时代。</w:t>
                  </w:r>
                </w:p>
              </w:tc>
              <w:tc>
                <w:tcPr>
                  <w:tcW w:w="850" w:type="dxa"/>
                  <w:vAlign w:val="center"/>
                </w:tcPr>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平江县</w:t>
                  </w:r>
                </w:p>
              </w:tc>
              <w:tc>
                <w:tcPr>
                  <w:tcW w:w="709" w:type="dxa"/>
                  <w:vAlign w:val="center"/>
                </w:tcPr>
                <w:p>
                  <w:pPr>
                    <w:pStyle w:val="6"/>
                    <w:adjustRightInd w:val="0"/>
                    <w:snapToGrid w:val="0"/>
                    <w:spacing w:before="156" w:beforeLines="50" w:after="156" w:afterLines="50" w:line="360" w:lineRule="auto"/>
                    <w:jc w:val="center"/>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直播</w:t>
                  </w:r>
                </w:p>
              </w:tc>
              <w:tc>
                <w:tcPr>
                  <w:tcW w:w="2977" w:type="dxa"/>
                  <w:vAlign w:val="center"/>
                </w:tcPr>
                <w:p>
                  <w:pPr>
                    <w:pStyle w:val="6"/>
                    <w:adjustRightInd w:val="0"/>
                    <w:snapToGrid w:val="0"/>
                    <w:spacing w:before="156" w:beforeLines="50" w:after="156" w:afterLines="50" w:line="360" w:lineRule="auto"/>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drawing>
                      <wp:inline distT="0" distB="0" distL="0" distR="0">
                        <wp:extent cx="1753235" cy="852805"/>
                        <wp:effectExtent l="0" t="0" r="184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53235" cy="8528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6"/>
                    <w:adjustRightInd w:val="0"/>
                    <w:snapToGrid w:val="0"/>
                    <w:spacing w:before="156" w:beforeLines="50" w:after="156" w:afterLines="50" w:line="360" w:lineRule="auto"/>
                    <w:jc w:val="center"/>
                    <w:rPr>
                      <w:rFonts w:hAnsi="宋体" w:cs="宋体"/>
                      <w:color w:val="000000" w:themeColor="text1"/>
                      <w:sz w:val="24"/>
                      <w:szCs w:val="24"/>
                      <w:shd w:val="clear" w:color="auto" w:fill="FFFFFF"/>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2</w:t>
                  </w:r>
                </w:p>
              </w:tc>
              <w:tc>
                <w:tcPr>
                  <w:tcW w:w="1315" w:type="dxa"/>
                  <w:vAlign w:val="center"/>
                </w:tcPr>
                <w:p>
                  <w:pPr>
                    <w:spacing w:before="156" w:beforeLines="50" w:after="156" w:afterLines="50" w:line="360" w:lineRule="auto"/>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sz w:val="24"/>
                      <w:shd w:val="clear" w:color="auto" w:fill="FFFFFF"/>
                    </w:rPr>
                    <w:t>百团百角唱百年</w:t>
                  </w:r>
                </w:p>
              </w:tc>
              <w:tc>
                <w:tcPr>
                  <w:tcW w:w="3544" w:type="dxa"/>
                </w:tcPr>
                <w:p>
                  <w:pPr>
                    <w:pStyle w:val="11"/>
                    <w:widowControl/>
                    <w:shd w:val="clear" w:color="auto" w:fill="FFFFFF"/>
                    <w:spacing w:before="156" w:beforeLines="50" w:after="156" w:afterLines="50" w:line="360" w:lineRule="auto"/>
                  </w:pPr>
                  <w:r>
                    <w:rPr>
                      <w:rFonts w:hint="eastAsia"/>
                    </w:rPr>
                    <w:t>平江县因有“十里三音”的语言特色，加上受地缘封闭的天然屏障保护，保持了平江民间歌谣艺术特色的稳定性。平江花灯戏声腔体系、表演形式独树一帜，风格独异。道白用平江方言俚语、乡情乡音，其唱腔、声调、声母、韵母都与其他汉语有明显区别，唱腔声调多、调值低，音韵仄起平收，音程跳跃变化大。平江民歌和平江花灯戏更是被列为湖南省级非物质文化遗产，其承载着大量的平江历史文化和民俗文化的“活化石”，历来是平江人民精神文化生活的重要食粮，对促进平江和周边地区的精神文明建设、丰富人民群众文化生活、构建和谐社会产生着重要作用。本次活动为平江全县文艺院团竞演活动，旨在推进平江县文艺事业的发展。</w:t>
                  </w:r>
                </w:p>
              </w:tc>
              <w:tc>
                <w:tcPr>
                  <w:tcW w:w="850" w:type="dxa"/>
                  <w:vAlign w:val="center"/>
                </w:tcPr>
                <w:p>
                  <w:pPr>
                    <w:spacing w:before="156" w:beforeLines="50" w:after="156" w:afterLines="50" w:line="360" w:lineRule="auto"/>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平江县</w:t>
                  </w:r>
                </w:p>
              </w:tc>
              <w:tc>
                <w:tcPr>
                  <w:tcW w:w="709" w:type="dxa"/>
                  <w:vAlign w:val="center"/>
                </w:tcPr>
                <w:p>
                  <w:pPr>
                    <w:pStyle w:val="6"/>
                    <w:adjustRightInd w:val="0"/>
                    <w:snapToGrid w:val="0"/>
                    <w:spacing w:before="156" w:beforeLines="50" w:after="156" w:afterLines="50" w:line="360" w:lineRule="auto"/>
                    <w:jc w:val="center"/>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录播</w:t>
                  </w:r>
                </w:p>
              </w:tc>
              <w:tc>
                <w:tcPr>
                  <w:tcW w:w="2977" w:type="dxa"/>
                  <w:vAlign w:val="center"/>
                </w:tcPr>
                <w:p>
                  <w:pPr>
                    <w:pStyle w:val="6"/>
                    <w:adjustRightInd w:val="0"/>
                    <w:snapToGrid w:val="0"/>
                    <w:spacing w:before="156" w:beforeLines="50" w:after="156" w:afterLines="50" w:line="360" w:lineRule="auto"/>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drawing>
                      <wp:inline distT="0" distB="0" distL="0" distR="0">
                        <wp:extent cx="1753235" cy="968375"/>
                        <wp:effectExtent l="0" t="0" r="1841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53235" cy="968375"/>
                                </a:xfrm>
                                <a:prstGeom prst="rect">
                                  <a:avLst/>
                                </a:prstGeom>
                                <a:noFill/>
                                <a:ln>
                                  <a:noFill/>
                                </a:ln>
                              </pic:spPr>
                            </pic:pic>
                          </a:graphicData>
                        </a:graphic>
                      </wp:inline>
                    </w:drawing>
                  </w:r>
                </w:p>
              </w:tc>
            </w:tr>
          </w:tbl>
          <w:p>
            <w:pPr>
              <w:spacing w:before="156" w:beforeLines="50" w:after="156" w:afterLines="50" w:line="360" w:lineRule="auto"/>
              <w:rPr>
                <w:rFonts w:ascii="宋体" w:hAnsi="宋体" w:eastAsia="宋体" w:cs="宋体"/>
                <w:b/>
                <w:bCs/>
                <w:sz w:val="24"/>
              </w:rPr>
            </w:pPr>
            <w:bookmarkStart w:id="0" w:name="_Toc21291"/>
          </w:p>
          <w:p>
            <w:pPr>
              <w:spacing w:before="156" w:beforeLines="50" w:after="156" w:afterLines="50" w:line="360" w:lineRule="auto"/>
              <w:ind w:firstLine="482" w:firstLineChars="200"/>
              <w:outlineLvl w:val="0"/>
              <w:rPr>
                <w:rFonts w:ascii="宋体" w:hAnsi="宋体" w:eastAsia="宋体" w:cs="宋体"/>
                <w:b/>
                <w:bCs/>
                <w:sz w:val="24"/>
              </w:rPr>
            </w:pPr>
            <w:bookmarkStart w:id="1" w:name="_Toc20525"/>
            <w:bookmarkStart w:id="2" w:name="_Toc85669075"/>
            <w:r>
              <w:rPr>
                <w:rFonts w:hint="eastAsia" w:ascii="宋体" w:hAnsi="宋体" w:eastAsia="宋体" w:cs="宋体"/>
                <w:b/>
                <w:bCs/>
                <w:sz w:val="24"/>
              </w:rPr>
              <w:t>2.新媒体宣传与服务推广活动</w:t>
            </w:r>
            <w:bookmarkEnd w:id="0"/>
            <w:bookmarkEnd w:id="1"/>
            <w:bookmarkEnd w:id="2"/>
          </w:p>
          <w:tbl>
            <w:tblPr>
              <w:tblStyle w:val="13"/>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134"/>
              <w:gridCol w:w="368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编号</w:t>
                  </w:r>
                </w:p>
              </w:tc>
              <w:tc>
                <w:tcPr>
                  <w:tcW w:w="1276" w:type="dxa"/>
                  <w:vAlign w:val="center"/>
                </w:tcPr>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1134" w:type="dxa"/>
                  <w:vAlign w:val="center"/>
                </w:tcPr>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类型</w:t>
                  </w:r>
                </w:p>
              </w:tc>
              <w:tc>
                <w:tcPr>
                  <w:tcW w:w="3686" w:type="dxa"/>
                  <w:vAlign w:val="center"/>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简介（含服务效果）</w:t>
                  </w:r>
                </w:p>
              </w:tc>
              <w:tc>
                <w:tcPr>
                  <w:tcW w:w="3260" w:type="dxa"/>
                </w:tcPr>
                <w:p>
                  <w:pPr>
                    <w:spacing w:before="156" w:beforeLines="50" w:after="156" w:afterLines="50" w:line="360" w:lineRule="auto"/>
                    <w:jc w:val="center"/>
                    <w:rPr>
                      <w:rFonts w:ascii="宋体" w:hAnsi="宋体" w:eastAsia="宋体" w:cs="宋体"/>
                      <w:sz w:val="24"/>
                    </w:rPr>
                  </w:pPr>
                  <w:r>
                    <w:rPr>
                      <w:rFonts w:hint="eastAsia" w:ascii="宋体" w:hAnsi="宋体" w:eastAsia="宋体" w:cs="宋体"/>
                      <w:sz w:val="24"/>
                    </w:rPr>
                    <w:t>活动照片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276" w:type="dxa"/>
                  <w:vAlign w:val="center"/>
                </w:tcPr>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shd w:val="clear" w:color="auto" w:fill="FFFFFF"/>
                    </w:rPr>
                    <w:t>全民健身</w:t>
                  </w:r>
                  <w:r>
                    <w:rPr>
                      <w:rFonts w:hint="eastAsia" w:ascii="仿宋" w:hAnsi="仿宋" w:eastAsia="仿宋" w:cs="仿宋"/>
                      <w:sz w:val="32"/>
                      <w:szCs w:val="32"/>
                    </w:rPr>
                    <w:t>·</w:t>
                  </w:r>
                  <w:r>
                    <w:rPr>
                      <w:rFonts w:hint="eastAsia" w:ascii="宋体" w:hAnsi="宋体" w:eastAsia="宋体" w:cs="宋体"/>
                      <w:sz w:val="24"/>
                      <w:shd w:val="clear" w:color="auto" w:fill="FFFFFF"/>
                    </w:rPr>
                    <w:t>平江太极汇</w:t>
                  </w:r>
                </w:p>
              </w:tc>
              <w:tc>
                <w:tcPr>
                  <w:tcW w:w="1134" w:type="dxa"/>
                  <w:vAlign w:val="center"/>
                </w:tcPr>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群文</w:t>
                  </w:r>
                </w:p>
                <w:p>
                  <w:pPr>
                    <w:spacing w:before="156" w:beforeLines="50" w:after="156" w:afterLines="50"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活动</w:t>
                  </w:r>
                </w:p>
              </w:tc>
              <w:tc>
                <w:tcPr>
                  <w:tcW w:w="3686" w:type="dxa"/>
                  <w:vAlign w:val="center"/>
                </w:tcPr>
                <w:p>
                  <w:pPr>
                    <w:spacing w:before="156" w:beforeLines="50" w:after="156" w:afterLines="50" w:line="360" w:lineRule="auto"/>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太极拳是东方文化的瑰宝，是中华武苑的古老奇葩。太极拳蕴含着丰富的中华民族传统文化，是中国文化的一种符号象征，也是促进中外文化交流的重要桥梁和纽带。太极拳具有很高的社会文化价值和武术价值，对于弘扬中国传统文化、提高人类生活质量、弘扬民族传统美德、增强社会凝聚力、构建和谐社会具有十分重要的意义。为了充分体现中华民族的传统美德和高尚的道德情操，提高平江县群众的思想素养，加强道德修养，提高民众对中国传统的兴趣。</w:t>
                  </w:r>
                </w:p>
              </w:tc>
              <w:tc>
                <w:tcPr>
                  <w:tcW w:w="3260" w:type="dxa"/>
                  <w:vAlign w:val="center"/>
                </w:tcPr>
                <w:p>
                  <w:pPr>
                    <w:spacing w:before="156" w:beforeLines="50" w:after="156" w:afterLines="50" w:line="360" w:lineRule="auto"/>
                    <w:jc w:val="left"/>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drawing>
                      <wp:inline distT="0" distB="0" distL="0" distR="0">
                        <wp:extent cx="1932940" cy="1075055"/>
                        <wp:effectExtent l="0" t="0" r="10160"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32940" cy="1075055"/>
                                </a:xfrm>
                                <a:prstGeom prst="rect">
                                  <a:avLst/>
                                </a:prstGeom>
                                <a:noFill/>
                                <a:ln>
                                  <a:noFill/>
                                </a:ln>
                              </pic:spPr>
                            </pic:pic>
                          </a:graphicData>
                        </a:graphic>
                      </wp:inline>
                    </w:drawing>
                  </w:r>
                </w:p>
              </w:tc>
            </w:tr>
          </w:tbl>
          <w:p>
            <w:pPr>
              <w:spacing w:line="620" w:lineRule="exact"/>
              <w:ind w:firstLine="640" w:firstLineChars="200"/>
              <w:rPr>
                <w:rFonts w:hint="eastAsia" w:ascii="仿宋" w:hAnsi="仿宋" w:eastAsia="仿宋"/>
                <w:sz w:val="32"/>
                <w:szCs w:val="32"/>
              </w:rPr>
            </w:pP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受新冠病毒疫情影响，我市餐饮、酒店、景区等旅游行业受到很大冲击。时值文旅融合，文创产业发展的时代，开发这些非遗资源，打造具有平江本地特色的文创产品，对于推动经济发展，保护非遗具有积极作用。岳阳市脱贫县基层全民艺术普及服务提质增效建设项目依托文旅云平台，发布平江县相关文创产品、非遗图文信息、联系方式等。</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spacing w:line="620" w:lineRule="exact"/>
              <w:ind w:firstLine="640" w:firstLineChars="200"/>
              <w:rPr>
                <w:rFonts w:hint="eastAsia" w:ascii="仿宋_GB2312" w:hAnsi="黑体" w:eastAsia="仿宋_GB2312"/>
                <w:sz w:val="30"/>
                <w:szCs w:val="30"/>
              </w:rPr>
            </w:pPr>
            <w:r>
              <w:rPr>
                <w:rFonts w:hint="eastAsia" w:ascii="仿宋" w:hAnsi="仿宋" w:eastAsia="仿宋"/>
                <w:sz w:val="32"/>
                <w:szCs w:val="32"/>
                <w:lang w:val="en-US" w:eastAsia="zh-CN"/>
              </w:rPr>
              <w:t>开</w:t>
            </w:r>
            <w:r>
              <w:rPr>
                <w:rFonts w:hint="eastAsia" w:ascii="仿宋" w:hAnsi="仿宋" w:eastAsia="仿宋"/>
                <w:sz w:val="32"/>
                <w:szCs w:val="32"/>
              </w:rPr>
              <w:t>展基层全民艺术普及工作是一项涉及全社会的系统惠民工程，是全面推动建设文化强国的重要内容之一</w:t>
            </w:r>
            <w:r>
              <w:rPr>
                <w:rFonts w:hint="eastAsia" w:ascii="仿宋" w:hAnsi="仿宋" w:eastAsia="仿宋"/>
                <w:sz w:val="32"/>
                <w:szCs w:val="32"/>
                <w:lang w:eastAsia="zh-CN"/>
              </w:rPr>
              <w:t>，</w:t>
            </w:r>
            <w:r>
              <w:rPr>
                <w:rFonts w:hint="eastAsia" w:ascii="仿宋" w:hAnsi="仿宋" w:eastAsia="仿宋"/>
                <w:sz w:val="32"/>
                <w:szCs w:val="32"/>
              </w:rPr>
              <w:t>本次建设内容紧跟政策标准，深挖脱贫县内涵，打造基层精品，在保障人民群众的基本文化权益的同时，充分发挥艺术的功能，引领时代风尚，鼓舞人民前进，推动社会发展蓝图转化为美好现实。</w:t>
            </w:r>
            <w:r>
              <w:rPr>
                <w:rFonts w:hint="eastAsia" w:ascii="仿宋" w:hAnsi="仿宋" w:eastAsia="仿宋"/>
                <w:sz w:val="32"/>
                <w:szCs w:val="32"/>
              </w:rPr>
              <w:t>此次申请资金，主要用于活动的策划、组织、实施等。</w:t>
            </w:r>
          </w:p>
          <w:p>
            <w:pPr>
              <w:numPr>
                <w:ilvl w:val="0"/>
                <w:numId w:val="2"/>
              </w:numPr>
              <w:ind w:firstLine="600" w:firstLineChars="200"/>
              <w:rPr>
                <w:rFonts w:hint="eastAsia" w:ascii="仿宋_GB2312" w:hAnsi="黑体" w:eastAsia="仿宋_GB2312"/>
                <w:sz w:val="30"/>
                <w:szCs w:val="30"/>
              </w:rPr>
            </w:pPr>
            <w:r>
              <w:rPr>
                <w:rFonts w:hint="eastAsia" w:ascii="仿宋_GB2312" w:hAnsi="黑体" w:eastAsia="仿宋_GB2312"/>
                <w:sz w:val="30"/>
                <w:szCs w:val="30"/>
              </w:rPr>
              <w:t>主要经验及做法、存在问题和建议</w:t>
            </w:r>
          </w:p>
          <w:p>
            <w:pPr>
              <w:ind w:firstLine="640" w:firstLineChars="200"/>
              <w:rPr>
                <w:rFonts w:hint="default" w:ascii="仿宋_GB2312" w:eastAsia="仿宋_GB2312"/>
                <w:sz w:val="32"/>
                <w:szCs w:val="32"/>
                <w:lang w:val="en-US"/>
              </w:rPr>
            </w:pPr>
            <w:r>
              <w:rPr>
                <w:rFonts w:hint="eastAsia" w:ascii="仿宋" w:hAnsi="仿宋" w:eastAsia="仿宋"/>
                <w:sz w:val="32"/>
                <w:szCs w:val="32"/>
              </w:rPr>
              <w:t>专项资金专项管理，规范管理</w:t>
            </w:r>
            <w:r>
              <w:rPr>
                <w:rFonts w:hint="eastAsia" w:ascii="仿宋" w:hAnsi="仿宋" w:eastAsia="仿宋"/>
                <w:sz w:val="32"/>
                <w:szCs w:val="32"/>
                <w:lang w:eastAsia="zh-CN"/>
              </w:rPr>
              <w:t>，</w:t>
            </w:r>
            <w:r>
              <w:rPr>
                <w:rFonts w:hint="eastAsia" w:ascii="仿宋" w:hAnsi="仿宋" w:eastAsia="仿宋"/>
                <w:sz w:val="32"/>
                <w:szCs w:val="32"/>
                <w:lang w:val="en-US" w:eastAsia="zh-CN"/>
              </w:rPr>
              <w:t>朝着丰</w:t>
            </w:r>
            <w:r>
              <w:rPr>
                <w:rFonts w:hint="eastAsia" w:ascii="仿宋" w:hAnsi="仿宋" w:eastAsia="仿宋"/>
                <w:sz w:val="32"/>
                <w:szCs w:val="32"/>
              </w:rPr>
              <w:t>富基层群众精神文化生活和提升群众幸福感</w:t>
            </w:r>
            <w:r>
              <w:rPr>
                <w:rFonts w:hint="eastAsia" w:ascii="仿宋" w:hAnsi="仿宋" w:eastAsia="仿宋"/>
                <w:sz w:val="32"/>
                <w:szCs w:val="32"/>
                <w:lang w:val="en-US" w:eastAsia="zh-CN"/>
              </w:rPr>
              <w:t>的目标继续努力</w:t>
            </w:r>
            <w:r>
              <w:rPr>
                <w:rFonts w:hint="eastAsia" w:ascii="仿宋" w:hAnsi="仿宋" w:eastAsia="仿宋"/>
                <w:sz w:val="32"/>
                <w:szCs w:val="32"/>
              </w:rPr>
              <w:t>，进一步推进全区公共数字文化服务体系建设</w:t>
            </w:r>
            <w:r>
              <w:rPr>
                <w:rFonts w:hint="eastAsia" w:ascii="宋体" w:hAnsi="宋体" w:eastAsia="宋体" w:cs="宋体"/>
                <w:i w:val="0"/>
                <w:iCs w:val="0"/>
                <w:caps w:val="0"/>
                <w:color w:val="525353"/>
                <w:spacing w:val="0"/>
                <w:sz w:val="28"/>
                <w:szCs w:val="28"/>
                <w:shd w:val="clear" w:fill="FFFFFF"/>
              </w:rPr>
              <w:t>。</w:t>
            </w:r>
          </w:p>
          <w:p>
            <w:pPr>
              <w:rPr>
                <w:rFonts w:eastAsia="楷体_GB2312"/>
                <w:bCs/>
                <w:sz w:val="28"/>
                <w:szCs w:val="28"/>
              </w:rPr>
            </w:pP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835E3"/>
    <w:multiLevelType w:val="singleLevel"/>
    <w:tmpl w:val="E55835E3"/>
    <w:lvl w:ilvl="0" w:tentative="0">
      <w:start w:val="6"/>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22"/>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QxZjRjNWQ2YzBlZDQxNTc2NWYwZTRlMzBlYWU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9B40A4"/>
    <w:rsid w:val="3B681D67"/>
    <w:rsid w:val="3CC6041E"/>
    <w:rsid w:val="3DB14044"/>
    <w:rsid w:val="3E446A1F"/>
    <w:rsid w:val="41DB497A"/>
    <w:rsid w:val="432C3BF6"/>
    <w:rsid w:val="456A3C81"/>
    <w:rsid w:val="456F6819"/>
    <w:rsid w:val="47AC402E"/>
    <w:rsid w:val="488C1A5A"/>
    <w:rsid w:val="497A5C9E"/>
    <w:rsid w:val="4A921CA8"/>
    <w:rsid w:val="4AE850AF"/>
    <w:rsid w:val="4B0D129B"/>
    <w:rsid w:val="4CAD6623"/>
    <w:rsid w:val="4CC47888"/>
    <w:rsid w:val="4D78026E"/>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321A9"/>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style>
  <w:style w:type="paragraph" w:styleId="6">
    <w:name w:val="Plain Text"/>
    <w:basedOn w:val="1"/>
    <w:unhideWhenUsed/>
    <w:qFormat/>
    <w:uiPriority w:val="99"/>
    <w:rPr>
      <w:rFonts w:ascii="宋体" w:hAnsi="Courier New" w:eastAsia="宋体" w:cs="Courier New"/>
      <w:szCs w:val="21"/>
    </w:rPr>
  </w:style>
  <w:style w:type="paragraph" w:styleId="7">
    <w:name w:val="Body Text Indent 2"/>
    <w:basedOn w:val="1"/>
    <w:link w:val="20"/>
    <w:unhideWhenUsed/>
    <w:qFormat/>
    <w:uiPriority w:val="99"/>
    <w:pPr>
      <w:ind w:firstLine="588" w:firstLineChars="200"/>
    </w:pPr>
    <w:rPr>
      <w:rFonts w:ascii="仿宋_GB2312" w:hAnsi="Calibri" w:eastAsia="仿宋_GB2312"/>
      <w:sz w:val="32"/>
    </w:rPr>
  </w:style>
  <w:style w:type="paragraph" w:styleId="8">
    <w:name w:val="Balloon Text"/>
    <w:basedOn w:val="1"/>
    <w:link w:val="23"/>
    <w:semiHidden/>
    <w:qFormat/>
    <w:uiPriority w:val="0"/>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rFonts w:ascii="Times New Roman" w:hAnsi="Times New Roman" w:cs="Times New Roman"/>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页眉 字符"/>
    <w:basedOn w:val="14"/>
    <w:link w:val="10"/>
    <w:semiHidden/>
    <w:qFormat/>
    <w:uiPriority w:val="99"/>
    <w:rPr>
      <w:sz w:val="18"/>
      <w:szCs w:val="18"/>
    </w:rPr>
  </w:style>
  <w:style w:type="character" w:customStyle="1" w:styleId="17">
    <w:name w:val="页脚 字符"/>
    <w:basedOn w:val="14"/>
    <w:link w:val="9"/>
    <w:qFormat/>
    <w:uiPriority w:val="0"/>
    <w:rPr>
      <w:sz w:val="18"/>
      <w:szCs w:val="18"/>
    </w:rPr>
  </w:style>
  <w:style w:type="character" w:customStyle="1" w:styleId="18">
    <w:name w:val="标题 3 Char Char"/>
    <w:qFormat/>
    <w:uiPriority w:val="0"/>
    <w:rPr>
      <w:rFonts w:eastAsia="楷体_GB2312"/>
      <w:b/>
      <w:kern w:val="2"/>
      <w:sz w:val="32"/>
      <w:szCs w:val="24"/>
      <w:lang w:val="en-US" w:eastAsia="zh-CN" w:bidi="ar-SA"/>
    </w:rPr>
  </w:style>
  <w:style w:type="paragraph" w:customStyle="1" w:styleId="19">
    <w:name w:val="Char"/>
    <w:basedOn w:val="1"/>
    <w:qFormat/>
    <w:uiPriority w:val="0"/>
    <w:pPr>
      <w:autoSpaceDE w:val="0"/>
      <w:autoSpaceDN w:val="0"/>
      <w:adjustRightInd w:val="0"/>
    </w:pPr>
    <w:rPr>
      <w:rFonts w:ascii="宋体" w:cs="宋体"/>
      <w:kern w:val="0"/>
      <w:sz w:val="20"/>
      <w:szCs w:val="20"/>
      <w:lang w:val="zh-CN"/>
    </w:rPr>
  </w:style>
  <w:style w:type="character" w:customStyle="1" w:styleId="20">
    <w:name w:val="正文文本缩进 2 字符"/>
    <w:basedOn w:val="14"/>
    <w:link w:val="7"/>
    <w:qFormat/>
    <w:uiPriority w:val="99"/>
    <w:rPr>
      <w:rFonts w:ascii="仿宋_GB2312" w:hAnsi="Calibri" w:eastAsia="仿宋_GB2312" w:cs="Times New Roman"/>
      <w:sz w:val="32"/>
      <w:szCs w:val="24"/>
    </w:rPr>
  </w:style>
  <w:style w:type="paragraph" w:customStyle="1" w:styleId="21">
    <w:name w:val="Char1"/>
    <w:basedOn w:val="1"/>
    <w:qFormat/>
    <w:uiPriority w:val="0"/>
    <w:rPr>
      <w:rFonts w:ascii="仿宋_GB2312" w:eastAsia="仿宋_GB2312"/>
      <w:sz w:val="32"/>
    </w:rPr>
  </w:style>
  <w:style w:type="paragraph" w:customStyle="1" w:styleId="22">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3">
    <w:name w:val="批注框文本 字符"/>
    <w:basedOn w:val="14"/>
    <w:link w:val="8"/>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4</TotalTime>
  <ScaleCrop>false</ScaleCrop>
  <LinksUpToDate>false</LinksUpToDate>
  <CharactersWithSpaces>6078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2021-06-25T03:03:00Z</cp:lastPrinted>
  <dcterms:modified xsi:type="dcterms:W3CDTF">2023-09-22T02:57:56Z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E9AB61422BA345C6B3FEB1316985C953</vt:lpwstr>
  </property>
</Properties>
</file>