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w:t>
      </w:r>
      <w:r>
        <w:rPr>
          <w:rFonts w:ascii="黑体" w:hAnsi="黑体" w:eastAsia="黑体" w:cs="黑体"/>
          <w:bCs/>
          <w:sz w:val="32"/>
          <w:szCs w:val="32"/>
        </w:rPr>
        <w:t>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rPr>
        <w:t>1年度部门整体支出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名称：岳阳市岳阳楼文物保护中心</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算编码：501013</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报告日期：2022年6月15日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018"/>
        <w:gridCol w:w="567"/>
        <w:gridCol w:w="425"/>
        <w:gridCol w:w="1694"/>
        <w:gridCol w:w="226"/>
        <w:gridCol w:w="348"/>
        <w:gridCol w:w="567"/>
        <w:gridCol w:w="62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胡娟</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eastAsia="仿宋_GB2312"/>
                <w:kern w:val="0"/>
                <w:sz w:val="24"/>
              </w:rPr>
              <w:t>13907305876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3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widowControl/>
              <w:spacing w:line="320" w:lineRule="exact"/>
              <w:rPr>
                <w:rFonts w:eastAsia="仿宋_GB2312"/>
                <w:kern w:val="0"/>
                <w:sz w:val="24"/>
              </w:rPr>
            </w:pPr>
            <w:r>
              <w:rPr>
                <w:rFonts w:hint="eastAsia" w:eastAsia="仿宋_GB2312" w:cs="仿宋_GB2312"/>
                <w:sz w:val="24"/>
              </w:rPr>
              <w:t>承担岳阳楼景区文物保护的事务性、技术性工作；受文旅广电局委托，承担相关文物保护、管理、研究、展示等职责，以及单位转企改制时离岗及离退休人员的管理和服务工作。</w:t>
            </w:r>
            <w:r>
              <w:rPr>
                <w:rFonts w:eastAsia="仿宋_GB2312"/>
                <w:kern w:val="0"/>
                <w:sz w:val="24"/>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0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widowControl/>
              <w:spacing w:line="320" w:lineRule="exact"/>
              <w:ind w:firstLine="480" w:firstLineChars="200"/>
              <w:jc w:val="left"/>
              <w:rPr>
                <w:rFonts w:eastAsia="仿宋_GB2312" w:cs="仿宋_GB2312"/>
                <w:sz w:val="24"/>
              </w:rPr>
            </w:pPr>
            <w:r>
              <w:rPr>
                <w:rFonts w:hint="eastAsia" w:eastAsia="仿宋_GB2312" w:cs="仿宋_GB2312"/>
                <w:sz w:val="24"/>
              </w:rPr>
              <w:t>对国家级5A级全国重点文物保护单位岳阳楼及时保护、较好维修，不定期利用文物古建筑场所进行文物展示，举办陈列展览和各类文化活动。</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cs="仿宋_GB2312"/>
                <w:sz w:val="24"/>
              </w:rPr>
              <w:t>做好单位转企改制时离岗及离退休人员的管理和服务工作。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认真做好岳阳楼主楼的值守工作，确保各项安全隐患的排查；制定安全应急预案；参加岳阳市红十字会应急救护和岳阳楼公安分局反恐演练的培训；完成省文物局、省消防总队“春冬文物火灾防控专项行动联合督导检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2、完成《岳阳楼六个单体附属建筑项目计划书》的申报工作；完成《岳阳楼智慧管理平台建设》的申报工作。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3、完成《岳阳楼消防工程》开工的前期准备工作，开展岳阳楼消防工程建设。4、制定《岳阳楼文物保护中心冬春季新冠肺炎疫情防控工作方案》，不断完善常态化防控机制，切实做好疫情防控工作。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完成环保治污整治工作，彻查文物保护区域和建设控制地带内的环保状况，进一步优化环境治理。制定《岳阳楼文物保护中心生活垃圾分类工作实施方案》，通过建章立制、宣传培训、示范引领的方式，建立全员参与工作机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6、完成老碑廊的重建工作。配合文旅公司完成了“岳阳楼主楼油饰保养工程”。</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7、以文化遗产全民传承类型，开展“名家画名楼”办实事项目，邀请知名画家们齐聚岳阳楼共同作画，做好“我为群众办实事”项目。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9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707.38</w:t>
            </w: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112.81</w:t>
            </w:r>
          </w:p>
        </w:tc>
        <w:tc>
          <w:tcPr>
            <w:tcW w:w="192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594.57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92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92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6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187"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187"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highlight w:val="yellow"/>
              </w:rPr>
            </w:pPr>
            <w:r>
              <w:rPr>
                <w:rFonts w:hint="eastAsia" w:ascii="仿宋_GB2312" w:hAnsi="仿宋_GB2312" w:eastAsia="仿宋_GB2312" w:cs="仿宋_GB2312"/>
                <w:color w:val="000000"/>
                <w:sz w:val="24"/>
              </w:rPr>
              <w:t>707.38</w:t>
            </w: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610.96</w:t>
            </w:r>
          </w:p>
        </w:tc>
        <w:tc>
          <w:tcPr>
            <w:tcW w:w="992" w:type="dxa"/>
            <w:gridSpan w:val="2"/>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520.46</w:t>
            </w:r>
          </w:p>
        </w:tc>
        <w:tc>
          <w:tcPr>
            <w:tcW w:w="2268" w:type="dxa"/>
            <w:gridSpan w:val="3"/>
            <w:vAlign w:val="center"/>
          </w:tcPr>
          <w:p>
            <w:pPr>
              <w:jc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90.50</w:t>
            </w: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96.42</w:t>
            </w: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8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28"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92"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68"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32"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859"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岳阳市岳阳楼文物保护中心</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1497.37</w:t>
            </w: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1497.37</w:t>
            </w:r>
          </w:p>
        </w:tc>
        <w:tc>
          <w:tcPr>
            <w:tcW w:w="38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559"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800"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7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559"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1、做好不可移动文物的值守和保护。</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2、开展各级文物的抢救和保养。</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3、提升文物保护的水平和力量。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4、推动非物质文化遗产的保护和传承</w:t>
            </w:r>
          </w:p>
          <w:p>
            <w:pPr>
              <w:autoSpaceDN w:val="0"/>
              <w:spacing w:line="320" w:lineRule="exact"/>
              <w:jc w:val="left"/>
              <w:textAlignment w:val="center"/>
              <w:rPr>
                <w:rFonts w:ascii="仿宋_GB2312" w:hAnsi="仿宋_GB2312" w:eastAsia="仿宋_GB2312" w:cs="仿宋_GB2312"/>
                <w:color w:val="000000"/>
                <w:sz w:val="24"/>
              </w:rPr>
            </w:pPr>
          </w:p>
        </w:tc>
        <w:tc>
          <w:tcPr>
            <w:tcW w:w="4800" w:type="dxa"/>
            <w:gridSpan w:val="9"/>
            <w:vAlign w:val="center"/>
          </w:tcPr>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Cs w:val="21"/>
              </w:rPr>
              <w:t>、岳阳楼景区为全年全天候开放，重点文物保护地带24小时有人在岗值守。中心专门设立安全管理办公室，配备专人对辖区内的文物进行安全巡查，做好巡查记录。</w:t>
            </w:r>
          </w:p>
          <w:p>
            <w:pPr>
              <w:autoSpaceDN w:val="0"/>
              <w:spacing w:line="320" w:lineRule="exac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2、严格按照文物保养维护的要求，遵循文物维修原则，结合专家组意见，积极开展维护维修工作。完成了老碑廊（北侧）坍塌部分抢救性维修的方案设计、评审招标；完成了老碑廊（南侧）日常维护保养，更换了腐朽的木构件，进行了油饰保养。</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Cs w:val="21"/>
              </w:rPr>
              <w:t>3、185.85万的岳阳楼消防项目和128.13万的岳阳楼安防项目相继落地开工；591万的岳阳楼六个单体建筑维修项目已呈报省文物局；由湖南大学编制的《岳阳楼文物安全智慧管理平台建设方案》和《岳阳楼结构安全、数字化建模及预警监测系统方案》也已相继出台，正在呈报省文物局；完成了省文物局、省消防总队“春冬文物火灾防控专项行动联合督导检查”工作；完成了防雷的年审年检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13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26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196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1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585"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260"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岳阳楼景区全年全天候开放，重点文物保护地带24小时专人在岗值守</w:t>
            </w:r>
          </w:p>
        </w:tc>
        <w:tc>
          <w:tcPr>
            <w:tcW w:w="1965" w:type="dxa"/>
            <w:gridSpan w:val="5"/>
            <w:vAlign w:val="center"/>
          </w:tcPr>
          <w:p>
            <w:pPr>
              <w:autoSpaceDN w:val="0"/>
              <w:spacing w:line="320" w:lineRule="exact"/>
              <w:ind w:firstLine="630" w:firstLineChars="30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continue"/>
            <w:vAlign w:val="center"/>
          </w:tcPr>
          <w:p>
            <w:pPr>
              <w:spacing w:line="320" w:lineRule="exact"/>
              <w:rPr>
                <w:rFonts w:ascii="仿宋_GB2312" w:hAnsi="仿宋_GB2312" w:eastAsia="仿宋_GB2312" w:cs="仿宋_GB2312"/>
                <w:sz w:val="24"/>
              </w:rPr>
            </w:pPr>
          </w:p>
        </w:tc>
        <w:tc>
          <w:tcPr>
            <w:tcW w:w="3260"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每天对岳阳楼景区内文物进行安全巡查，并做好巡查记录</w:t>
            </w:r>
          </w:p>
        </w:tc>
        <w:tc>
          <w:tcPr>
            <w:tcW w:w="1965" w:type="dxa"/>
            <w:gridSpan w:val="5"/>
            <w:vAlign w:val="center"/>
          </w:tcPr>
          <w:p>
            <w:pPr>
              <w:autoSpaceDN w:val="0"/>
              <w:spacing w:line="320" w:lineRule="exact"/>
              <w:ind w:firstLine="630" w:firstLineChars="30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260"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cs="仿宋_GB2312"/>
                <w:szCs w:val="21"/>
              </w:rPr>
              <w:t>市级以上文保单位完好率</w:t>
            </w:r>
            <w:r>
              <w:rPr>
                <w:rFonts w:hint="eastAsia" w:ascii="仿宋_GB2312" w:eastAsia="仿宋_GB2312" w:cs="仿宋_GB2312"/>
                <w:szCs w:val="21"/>
              </w:rPr>
              <w:t>≥8</w:t>
            </w:r>
            <w:r>
              <w:rPr>
                <w:rFonts w:ascii="仿宋_GB2312" w:eastAsia="仿宋_GB2312" w:cs="仿宋_GB2312"/>
                <w:szCs w:val="21"/>
              </w:rPr>
              <w:t>0%</w:t>
            </w:r>
          </w:p>
        </w:tc>
        <w:tc>
          <w:tcPr>
            <w:tcW w:w="1965" w:type="dxa"/>
            <w:gridSpan w:val="5"/>
            <w:vAlign w:val="center"/>
          </w:tcPr>
          <w:p>
            <w:pPr>
              <w:autoSpaceDN w:val="0"/>
              <w:spacing w:line="320" w:lineRule="exact"/>
              <w:ind w:firstLine="630" w:firstLineChars="30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90</w:t>
            </w:r>
            <w:r>
              <w:rPr>
                <w:rFonts w:ascii="仿宋_GB2312" w:hAnsi="仿宋_GB2312" w:eastAsia="仿宋_GB2312" w:cs="仿宋_GB2312"/>
                <w:color w:val="00000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260" w:type="dxa"/>
            <w:gridSpan w:val="5"/>
            <w:vAlign w:val="center"/>
          </w:tcPr>
          <w:p>
            <w:pPr>
              <w:autoSpaceDN w:val="0"/>
              <w:spacing w:line="320" w:lineRule="exact"/>
              <w:jc w:val="left"/>
              <w:textAlignment w:val="center"/>
              <w:rPr>
                <w:rFonts w:ascii="仿宋_GB2312" w:hAnsi="仿宋_GB2312" w:eastAsia="仿宋_GB2312" w:cs="仿宋_GB2312"/>
                <w:color w:val="000000"/>
                <w:szCs w:val="21"/>
              </w:rPr>
            </w:pPr>
            <w:r>
              <w:rPr>
                <w:rFonts w:hint="eastAsia" w:eastAsia="仿宋_GB2312" w:cs="仿宋_GB2312"/>
                <w:szCs w:val="21"/>
              </w:rPr>
              <w:t>文物维修合格率100%</w:t>
            </w:r>
          </w:p>
        </w:tc>
        <w:tc>
          <w:tcPr>
            <w:tcW w:w="1965" w:type="dxa"/>
            <w:gridSpan w:val="5"/>
            <w:vAlign w:val="center"/>
          </w:tcPr>
          <w:p>
            <w:pPr>
              <w:autoSpaceDN w:val="0"/>
              <w:spacing w:line="320" w:lineRule="exact"/>
              <w:ind w:firstLine="735" w:firstLineChars="35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widowControl/>
              <w:jc w:val="center"/>
              <w:rPr>
                <w:rFonts w:eastAsia="仿宋_GB2312"/>
                <w:kern w:val="0"/>
                <w:sz w:val="24"/>
              </w:rPr>
            </w:pPr>
            <w:r>
              <w:rPr>
                <w:rFonts w:eastAsia="仿宋_GB2312"/>
                <w:kern w:val="0"/>
                <w:sz w:val="24"/>
              </w:rPr>
              <w:t>时效指标</w:t>
            </w:r>
          </w:p>
        </w:tc>
        <w:tc>
          <w:tcPr>
            <w:tcW w:w="3260" w:type="dxa"/>
            <w:gridSpan w:val="5"/>
            <w:vAlign w:val="center"/>
          </w:tcPr>
          <w:p>
            <w:pPr>
              <w:autoSpaceDN w:val="0"/>
              <w:spacing w:line="320" w:lineRule="exact"/>
              <w:jc w:val="left"/>
              <w:textAlignment w:val="center"/>
              <w:rPr>
                <w:rFonts w:eastAsia="仿宋_GB2312" w:cs="仿宋_GB2312"/>
                <w:szCs w:val="21"/>
              </w:rPr>
            </w:pPr>
            <w:r>
              <w:rPr>
                <w:rFonts w:hint="eastAsia" w:eastAsia="仿宋_GB2312" w:cs="仿宋_GB2312"/>
                <w:szCs w:val="21"/>
              </w:rPr>
              <w:t>目标任务完成及时率100%</w:t>
            </w:r>
          </w:p>
        </w:tc>
        <w:tc>
          <w:tcPr>
            <w:tcW w:w="1965" w:type="dxa"/>
            <w:gridSpan w:val="5"/>
            <w:vAlign w:val="center"/>
          </w:tcPr>
          <w:p>
            <w:pPr>
              <w:autoSpaceDN w:val="0"/>
              <w:spacing w:line="320" w:lineRule="exact"/>
              <w:ind w:firstLine="735" w:firstLineChars="350"/>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widowControl/>
              <w:jc w:val="center"/>
              <w:rPr>
                <w:rFonts w:eastAsia="仿宋_GB2312"/>
                <w:kern w:val="0"/>
                <w:sz w:val="24"/>
              </w:rPr>
            </w:pPr>
            <w:r>
              <w:rPr>
                <w:rFonts w:eastAsia="仿宋_GB2312"/>
                <w:kern w:val="0"/>
                <w:sz w:val="24"/>
              </w:rPr>
              <w:t>成本指标</w:t>
            </w:r>
          </w:p>
        </w:tc>
        <w:tc>
          <w:tcPr>
            <w:tcW w:w="3260" w:type="dxa"/>
            <w:gridSpan w:val="5"/>
            <w:vAlign w:val="center"/>
          </w:tcPr>
          <w:p>
            <w:pPr>
              <w:autoSpaceDN w:val="0"/>
              <w:spacing w:line="320" w:lineRule="exact"/>
              <w:jc w:val="left"/>
              <w:textAlignment w:val="center"/>
              <w:rPr>
                <w:rFonts w:eastAsia="仿宋_GB2312" w:cs="仿宋_GB2312"/>
                <w:szCs w:val="21"/>
              </w:rPr>
            </w:pPr>
            <w:r>
              <w:rPr>
                <w:rFonts w:hint="eastAsia" w:eastAsia="仿宋_GB2312" w:cs="仿宋_GB2312"/>
                <w:szCs w:val="21"/>
              </w:rPr>
              <w:t>预算成本控制情况≤707.38万</w:t>
            </w:r>
          </w:p>
        </w:tc>
        <w:tc>
          <w:tcPr>
            <w:tcW w:w="1965" w:type="dxa"/>
            <w:gridSpan w:val="5"/>
            <w:vAlign w:val="center"/>
          </w:tcPr>
          <w:p>
            <w:pPr>
              <w:autoSpaceDN w:val="0"/>
              <w:spacing w:line="32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707.38万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58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260" w:type="dxa"/>
            <w:gridSpan w:val="5"/>
            <w:vAlign w:val="center"/>
          </w:tcPr>
          <w:p>
            <w:pPr>
              <w:autoSpaceDN w:val="0"/>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强化文物保护效果</w:t>
            </w:r>
          </w:p>
        </w:tc>
        <w:tc>
          <w:tcPr>
            <w:tcW w:w="1965" w:type="dxa"/>
            <w:gridSpan w:val="5"/>
            <w:vAlign w:val="center"/>
          </w:tcPr>
          <w:p>
            <w:pPr>
              <w:autoSpaceDN w:val="0"/>
              <w:spacing w:line="360" w:lineRule="exact"/>
              <w:jc w:val="center"/>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切实加强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58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260" w:type="dxa"/>
            <w:gridSpan w:val="5"/>
            <w:vAlign w:val="center"/>
          </w:tcPr>
          <w:p>
            <w:pPr>
              <w:autoSpaceDN w:val="0"/>
              <w:spacing w:line="360" w:lineRule="exact"/>
              <w:jc w:val="left"/>
              <w:textAlignment w:val="center"/>
              <w:rPr>
                <w:rFonts w:ascii="仿宋_GB2312" w:hAnsi="仿宋_GB2312" w:eastAsia="仿宋_GB2312" w:cs="仿宋_GB2312"/>
                <w:color w:val="000000"/>
                <w:szCs w:val="21"/>
              </w:rPr>
            </w:pPr>
            <w:r>
              <w:rPr>
                <w:rFonts w:ascii="仿宋_GB2312" w:hAnsi="仿宋_GB2312" w:eastAsia="仿宋_GB2312" w:cs="仿宋_GB2312"/>
                <w:color w:val="000000"/>
                <w:szCs w:val="21"/>
              </w:rPr>
              <w:t>社会公众满意度</w:t>
            </w:r>
            <w:r>
              <w:rPr>
                <w:rFonts w:hint="eastAsia" w:ascii="仿宋_GB2312" w:eastAsia="仿宋_GB2312" w:cs="仿宋_GB2312"/>
                <w:szCs w:val="21"/>
              </w:rPr>
              <w:t>≥9</w:t>
            </w:r>
            <w:r>
              <w:rPr>
                <w:rFonts w:ascii="仿宋_GB2312" w:eastAsia="仿宋_GB2312" w:cs="仿宋_GB2312"/>
                <w:szCs w:val="21"/>
              </w:rPr>
              <w:t>0%</w:t>
            </w:r>
          </w:p>
        </w:tc>
        <w:tc>
          <w:tcPr>
            <w:tcW w:w="1965" w:type="dxa"/>
            <w:gridSpan w:val="5"/>
            <w:vAlign w:val="center"/>
          </w:tcPr>
          <w:p>
            <w:pPr>
              <w:autoSpaceDN w:val="0"/>
              <w:spacing w:line="360" w:lineRule="exact"/>
              <w:jc w:val="center"/>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姓名</w:t>
            </w: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汤志宏</w:t>
            </w:r>
          </w:p>
        </w:tc>
        <w:tc>
          <w:tcPr>
            <w:tcW w:w="3346" w:type="dxa"/>
            <w:gridSpan w:val="6"/>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书记</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宋蔚</w:t>
            </w:r>
          </w:p>
        </w:tc>
        <w:tc>
          <w:tcPr>
            <w:tcW w:w="3346" w:type="dxa"/>
            <w:gridSpan w:val="6"/>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综合办主任</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654" w:type="dxa"/>
            <w:gridSpan w:val="2"/>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胡娟</w:t>
            </w:r>
          </w:p>
        </w:tc>
        <w:tc>
          <w:tcPr>
            <w:tcW w:w="3346" w:type="dxa"/>
            <w:gridSpan w:val="6"/>
            <w:shd w:val="clear" w:color="auto" w:fill="auto"/>
            <w:vAlign w:val="center"/>
          </w:tcPr>
          <w:p>
            <w:pPr>
              <w:autoSpaceDN w:val="0"/>
              <w:spacing w:line="320" w:lineRule="exact"/>
              <w:jc w:val="center"/>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会计</w:t>
            </w: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4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94"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ind w:firstLine="6240" w:firstLineChars="26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部门（单位）负责人（签章）：</w:t>
            </w:r>
          </w:p>
          <w:p>
            <w:pPr>
              <w:autoSpaceDN w:val="0"/>
              <w:spacing w:line="320" w:lineRule="exact"/>
              <w:ind w:firstLine="6240" w:firstLineChars="26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财政部门归口业务科室负责人（签章）：</w:t>
            </w:r>
          </w:p>
          <w:p>
            <w:pPr>
              <w:autoSpaceDN w:val="0"/>
              <w:spacing w:line="320" w:lineRule="exact"/>
              <w:ind w:firstLine="6240" w:firstLineChars="2600"/>
              <w:jc w:val="left"/>
              <w:textAlignment w:val="center"/>
              <w:rPr>
                <w:rFonts w:ascii="仿宋_GB2312" w:hAnsi="仿宋_GB2312" w:eastAsia="仿宋_GB2312" w:cs="仿宋_GB2312"/>
                <w:color w:val="000000"/>
                <w:sz w:val="24"/>
              </w:rPr>
            </w:pP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pPr>
        <w:rPr>
          <w:rFonts w:eastAsia="仿宋_GB2312" w:cs="仿宋_GB2312"/>
          <w:bCs/>
          <w:sz w:val="28"/>
          <w:szCs w:val="28"/>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                     </w:t>
      </w:r>
      <w:bookmarkStart w:id="0" w:name="_GoBack"/>
      <w:bookmarkEnd w:id="0"/>
      <w:r>
        <w:rPr>
          <w:rFonts w:hint="eastAsia" w:eastAsia="仿宋_GB2312" w:cs="仿宋_GB2312"/>
          <w:bCs/>
          <w:sz w:val="28"/>
          <w:szCs w:val="28"/>
        </w:rPr>
        <w:t>联系电话：</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岳阳市岳阳楼文物保护中心为公益一类全额拨款性质的正科级单位，主要职能是承担岳阳楼景区文物保护的事务性、技术性工作；受文旅广电局委托，承担相关文物保护、管理、研究、展示等职责，以及单位转企改制时离岗及离退休人员的管理和服务工作。2021年单位在编在岗工作人员20人，单位领导正职（主任）1名，副职（书记1名、副主任2名）3名。设置了综合部、离岗和退休人员管理部、文物保护部及安全保卫部等4个职能部室。</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2021年11月15日，因事业单位分类改革机构整合，本中心已并入岳阳市文物保护中心。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1、根据</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1年市本级部门预算批复，本单位预算收入707.38</w:t>
            </w:r>
            <w:r>
              <w:rPr>
                <w:rFonts w:ascii="仿宋_GB2312" w:hAnsi="仿宋_GB2312" w:eastAsia="仿宋_GB2312" w:cs="仿宋_GB2312"/>
                <w:bCs/>
                <w:sz w:val="28"/>
                <w:szCs w:val="28"/>
              </w:rPr>
              <w:t>万元，其中</w:t>
            </w:r>
            <w:r>
              <w:rPr>
                <w:rFonts w:hint="eastAsia" w:ascii="仿宋_GB2312" w:hAnsi="仿宋_GB2312" w:eastAsia="仿宋_GB2312" w:cs="仿宋_GB2312"/>
                <w:bCs/>
                <w:sz w:val="28"/>
                <w:szCs w:val="28"/>
              </w:rPr>
              <w:t>公共财政拨款707.38</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其中，一般公共预算拨款</w:t>
            </w:r>
            <w:r>
              <w:rPr>
                <w:rFonts w:ascii="仿宋_GB2312" w:hAnsi="仿宋_GB2312" w:eastAsia="仿宋_GB2312" w:cs="仿宋_GB2312"/>
                <w:bCs/>
                <w:sz w:val="28"/>
                <w:szCs w:val="28"/>
              </w:rPr>
              <w:t>112.81</w:t>
            </w:r>
            <w:r>
              <w:rPr>
                <w:rFonts w:hint="eastAsia" w:ascii="仿宋_GB2312" w:hAnsi="仿宋_GB2312" w:eastAsia="仿宋_GB2312" w:cs="仿宋_GB2312"/>
                <w:bCs/>
                <w:sz w:val="28"/>
                <w:szCs w:val="28"/>
              </w:rPr>
              <w:t>万元，其他收入</w:t>
            </w:r>
            <w:r>
              <w:rPr>
                <w:rFonts w:ascii="仿宋_GB2312" w:hAnsi="仿宋_GB2312" w:eastAsia="仿宋_GB2312" w:cs="仿宋_GB2312"/>
                <w:bCs/>
                <w:sz w:val="28"/>
                <w:szCs w:val="28"/>
              </w:rPr>
              <w:t>594.57</w:t>
            </w:r>
            <w:r>
              <w:rPr>
                <w:rFonts w:hint="eastAsia" w:ascii="仿宋_GB2312" w:hAnsi="仿宋_GB2312" w:eastAsia="仿宋_GB2312" w:cs="仿宋_GB2312"/>
                <w:bCs/>
                <w:sz w:val="28"/>
                <w:szCs w:val="28"/>
              </w:rPr>
              <w:t>万元，上年结转0万元。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ascii="仿宋_GB2312" w:hAnsi="仿宋_GB2312" w:eastAsia="仿宋_GB2312" w:cs="仿宋_GB2312"/>
                <w:bCs/>
                <w:sz w:val="28"/>
                <w:szCs w:val="28"/>
              </w:rPr>
              <w:t>202</w:t>
            </w:r>
            <w:r>
              <w:rPr>
                <w:rFonts w:hint="eastAsia" w:ascii="仿宋_GB2312" w:hAnsi="仿宋_GB2312" w:eastAsia="仿宋_GB2312" w:cs="仿宋_GB2312"/>
                <w:bCs/>
                <w:sz w:val="28"/>
                <w:szCs w:val="28"/>
              </w:rPr>
              <w:t>1年支出预算707.38万元，其中文化旅游体育与传媒支出707.38万元。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2021年度中心基本支出</w:t>
            </w:r>
            <w:r>
              <w:rPr>
                <w:rFonts w:ascii="仿宋_GB2312" w:hAnsi="仿宋_GB2312" w:eastAsia="仿宋_GB2312" w:cs="仿宋_GB2312"/>
                <w:bCs/>
                <w:sz w:val="28"/>
                <w:szCs w:val="28"/>
              </w:rPr>
              <w:t>610.96</w:t>
            </w:r>
            <w:r>
              <w:rPr>
                <w:rFonts w:hint="eastAsia" w:ascii="仿宋_GB2312" w:hAnsi="仿宋_GB2312" w:eastAsia="仿宋_GB2312" w:cs="仿宋_GB2312"/>
                <w:bCs/>
                <w:sz w:val="28"/>
                <w:szCs w:val="28"/>
              </w:rPr>
              <w:t>万元，其中人员支出</w:t>
            </w:r>
            <w:r>
              <w:rPr>
                <w:rFonts w:ascii="仿宋_GB2312" w:hAnsi="仿宋_GB2312" w:eastAsia="仿宋_GB2312" w:cs="仿宋_GB2312"/>
                <w:bCs/>
                <w:sz w:val="28"/>
                <w:szCs w:val="28"/>
              </w:rPr>
              <w:t>520.46</w:t>
            </w:r>
            <w:r>
              <w:rPr>
                <w:rFonts w:hint="eastAsia" w:ascii="仿宋_GB2312" w:hAnsi="仿宋_GB2312" w:eastAsia="仿宋_GB2312" w:cs="仿宋_GB2312"/>
                <w:bCs/>
                <w:sz w:val="28"/>
                <w:szCs w:val="28"/>
              </w:rPr>
              <w:t>万元，公用支出</w:t>
            </w:r>
            <w:r>
              <w:rPr>
                <w:rFonts w:ascii="仿宋_GB2312" w:hAnsi="仿宋_GB2312" w:eastAsia="仿宋_GB2312" w:cs="仿宋_GB2312"/>
                <w:bCs/>
                <w:sz w:val="28"/>
                <w:szCs w:val="28"/>
              </w:rPr>
              <w:t>9</w:t>
            </w:r>
            <w:r>
              <w:rPr>
                <w:rFonts w:hint="eastAsia" w:ascii="仿宋_GB2312" w:hAnsi="仿宋_GB2312" w:eastAsia="仿宋_GB2312" w:cs="仿宋_GB2312"/>
                <w:bCs/>
                <w:sz w:val="28"/>
                <w:szCs w:val="28"/>
              </w:rPr>
              <w:t>0.50</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，基本支出是为保障单位机构正常运转、完成日常工作任务而发生的各项支出，包括用于基本工资、津贴补贴等人员经费以及办公费、印刷费、水电费、差旅费等日常公用经费。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（二）项目支出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2021年项目支出年初预算数为33.00万元，实际支出96.42万元，主要用于提前离岗人员费用支出。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（三）三公经费的使用和管理情况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本单位2021年“三公”经费预算数0万元。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（四）固定资产使用情况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截至2021年12月底，本单位固定资产合计1497.37</w:t>
            </w:r>
            <w:r>
              <w:rPr>
                <w:rFonts w:ascii="仿宋_GB2312" w:hAnsi="仿宋_GB2312" w:eastAsia="仿宋_GB2312" w:cs="仿宋_GB2312"/>
                <w:bCs/>
                <w:sz w:val="28"/>
                <w:szCs w:val="28"/>
              </w:rPr>
              <w:t>万元，其中在用固定资产</w:t>
            </w:r>
            <w:r>
              <w:rPr>
                <w:rFonts w:hint="eastAsia" w:ascii="仿宋_GB2312" w:hAnsi="仿宋_GB2312" w:eastAsia="仿宋_GB2312" w:cs="仿宋_GB2312"/>
                <w:bCs/>
                <w:sz w:val="28"/>
                <w:szCs w:val="28"/>
              </w:rPr>
              <w:t>1497.37</w:t>
            </w:r>
            <w:r>
              <w:rPr>
                <w:rFonts w:ascii="仿宋_GB2312" w:hAnsi="仿宋_GB2312" w:eastAsia="仿宋_GB2312" w:cs="仿宋_GB2312"/>
                <w:bCs/>
                <w:sz w:val="28"/>
                <w:szCs w:val="28"/>
              </w:rPr>
              <w:t>万元</w:t>
            </w:r>
            <w:r>
              <w:rPr>
                <w:rFonts w:hint="eastAsia" w:ascii="仿宋_GB2312" w:hAnsi="仿宋_GB2312" w:eastAsia="仿宋_GB2312" w:cs="仿宋_GB2312"/>
                <w:bCs/>
                <w:sz w:val="28"/>
                <w:szCs w:val="28"/>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（一）夯实基础、确保单位正常运转。</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加强党建工作，强化安全管理工作。由于机构改革一轮接一轮，原岳阳楼文物保护中心的党组织一直没有成立，但近一年来，岳阳楼文保中心党史学习教育、党建活动开展一直没有落下，全年组织党员学习10余次。严格落实好中央“八项规定”要求，做好“三重一大”项目监管工作，对岳阳楼老碑廊抢救性维修、岳阳楼消防工程项目招标等大小内审询价会8余次进行了全程监督。</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紧抓专业知识培训，提升业务技能能力。为全面贯彻落实中央“保护为主、抢救第一、合理利用、加强管理”的十六字文物工作方针，落实岳阳楼景区机构改革后“文物保护切实得到加强”的指导精神，体现岳阳楼文物保护的重视度与专职性，让员工尽快熟悉和胜任新的工作岗位，文保中心组织开展了一场历时16天全员参与的文物保护专业业务培训，深入学习贯彻习近平总书记关于文物工作的重要论述，充分认识做好新时代文物工作的重大意义，先后邀请文物、安防、消防专家集中授课，让员工们进一步熟悉掌握文物保护相关专业理论知识、法规政策等。</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强化管理，加强廉政建设。认真执行了财务制度、考勤制度、请假制度、学习制度等四项制度。特别是将考勤制度落到实处。组织全体党员干部学习党的反腐倡廉理论和党风廉政建设规章制度，以领导干部为重点，创新学习方式；开展违规吃喝专项整治工作；加强建立健全内部监控机制，完善制约和监督机制。</w:t>
            </w:r>
          </w:p>
          <w:p>
            <w:pPr>
              <w:ind w:firstLine="560" w:firstLineChars="200"/>
              <w:rPr>
                <w:rFonts w:ascii="黑体" w:hAnsi="黑体" w:eastAsia="黑体" w:cs="黑体"/>
                <w:color w:val="000000" w:themeColor="text1"/>
                <w:sz w:val="32"/>
                <w:szCs w:val="32"/>
              </w:rPr>
            </w:pPr>
            <w:r>
              <w:rPr>
                <w:rFonts w:hint="eastAsia" w:ascii="仿宋_GB2312" w:hAnsi="仿宋_GB2312" w:eastAsia="仿宋_GB2312" w:cs="仿宋_GB2312"/>
                <w:bCs/>
                <w:sz w:val="28"/>
                <w:szCs w:val="28"/>
              </w:rPr>
              <w:t>（二）进一步加强文物保护利用和重点项目申报工作。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以人为本，做好不可移动文物的值守和保护。岳阳楼景区为全年全天候开放，重点文物保护地带24小时有人在岗值守。中心专门设立安全管理办公室，配备专人对辖区内的文物进行安全巡查，做好巡查记录。完成环保治污整治工作，通过制定《岳阳楼文物保护中心生活垃圾分类工作实施方案》，彻查文物保护区域和建设控制地带内的环保状况；积极参加岳阳市红十字会应急救护和岳阳楼公安分局反恐演练以及消防知识培训。</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积极投入，开展各级文物的抢救和保养。岳阳楼景区文物保护范围内多处景点为纯木结构，因年久失修，部分建筑出现了油漆龟裂、空鼓、脱落，甚至变形和部分坍塌的情况。文保中心严格按照文物保养维护的要求，遵循文物维修原则，结合专家组意见，积极开展维护维修工作。完成了老碑廊（北侧）坍塌部分抢救性维修的方案设计、评审招标，目前维修工程正在有序推进；完成了老碑廊（南侧）日常维护保养，更换了腐朽的木构件，进行了油饰保养。</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科技助力，提升文物保护的水平和力量。除了依靠传统的保护性措施外，也要加强数字化技术的开发与利用，为文物保护注入新活力。185.85万的岳阳楼消防项目和128.13万的岳阳楼安防项目相继落地开工；591万的岳阳楼六个单体建筑维修项目已呈报省文物局；由湖南大学编制的《岳阳楼文物安全智慧管理平台建设方案》和《岳阳楼结构安全、数字化建模及预警监测系统方案》也已相继出台，正在呈报省文物局；完成了省文物局、省消防总队“春冬文物火灾防控专项行动联合督导检查”工作；完成了防雷的年审年检工作。</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财政经费不足。职工健康体检费用未足额拨付，单位无其他经济来源。截止到2022年4月1日，单位18个劳务派遣人员的经费指标尚未到账，拖欠人员经费情况得不到解决。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五、改进措施和有关建议</w:t>
            </w:r>
          </w:p>
          <w:p>
            <w:pPr>
              <w:spacing w:line="380" w:lineRule="exact"/>
              <w:ind w:firstLine="560" w:firstLineChars="200"/>
              <w:rPr>
                <w:rFonts w:eastAsia="楷体_GB2312"/>
                <w:bCs/>
                <w:sz w:val="28"/>
                <w:szCs w:val="28"/>
              </w:rPr>
            </w:pPr>
            <w:r>
              <w:rPr>
                <w:rFonts w:hint="eastAsia" w:ascii="仿宋_GB2312" w:hAnsi="仿宋_GB2312" w:eastAsia="仿宋_GB2312" w:cs="仿宋_GB2312"/>
                <w:bCs/>
                <w:sz w:val="28"/>
                <w:szCs w:val="28"/>
              </w:rPr>
              <w:t>建议进一步规范管理，按照文物保护单位日常维护标准给予财政拨款。</w:t>
            </w:r>
          </w:p>
        </w:tc>
      </w:tr>
    </w:tbl>
    <w:p/>
    <w:p/>
    <w:p/>
    <w:p>
      <w:pPr>
        <w:spacing w:line="500" w:lineRule="exact"/>
        <w:jc w:val="center"/>
        <w:rPr>
          <w:rFonts w:ascii="仿宋" w:hAnsi="仿宋" w:eastAsia="仿宋" w:cs="仿宋"/>
          <w:color w:val="000000" w:themeColor="text1"/>
          <w:kern w:val="0"/>
          <w:sz w:val="32"/>
          <w:szCs w:val="32"/>
        </w:rPr>
      </w:pPr>
      <w:r>
        <w:rPr>
          <w:rFonts w:hint="eastAsia" w:ascii="方正小标宋简体" w:hAnsi="宋体" w:eastAsia="方正小标宋简体" w:cs="宋体"/>
          <w:color w:val="000000" w:themeColor="text1"/>
          <w:kern w:val="0"/>
          <w:sz w:val="44"/>
          <w:szCs w:val="44"/>
        </w:rPr>
        <w:t>部门整体支出绩效评价自评表</w:t>
      </w:r>
    </w:p>
    <w:tbl>
      <w:tblPr>
        <w:tblStyle w:val="4"/>
        <w:tblpPr w:leftFromText="180" w:rightFromText="180" w:vertAnchor="text" w:horzAnchor="page" w:tblpXSpec="center" w:tblpY="591"/>
        <w:tblOverlap w:val="never"/>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5"/>
        <w:gridCol w:w="1015"/>
        <w:gridCol w:w="1135"/>
        <w:gridCol w:w="4110"/>
        <w:gridCol w:w="566"/>
        <w:gridCol w:w="707"/>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jc w:val="center"/>
        </w:trPr>
        <w:tc>
          <w:tcPr>
            <w:tcW w:w="501"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一级指标</w:t>
            </w:r>
          </w:p>
        </w:tc>
        <w:tc>
          <w:tcPr>
            <w:tcW w:w="527"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二级指标</w:t>
            </w:r>
          </w:p>
        </w:tc>
        <w:tc>
          <w:tcPr>
            <w:tcW w:w="589"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三级指标</w:t>
            </w:r>
          </w:p>
        </w:tc>
        <w:tc>
          <w:tcPr>
            <w:tcW w:w="2133"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评分标准</w:t>
            </w:r>
          </w:p>
        </w:tc>
        <w:tc>
          <w:tcPr>
            <w:tcW w:w="294" w:type="pct"/>
            <w:shd w:val="clear" w:color="auto" w:fill="auto"/>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分值</w:t>
            </w:r>
          </w:p>
        </w:tc>
        <w:tc>
          <w:tcPr>
            <w:tcW w:w="367" w:type="pct"/>
            <w:shd w:val="clear" w:color="auto" w:fill="FFFFFF"/>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自评得分</w:t>
            </w:r>
          </w:p>
        </w:tc>
        <w:tc>
          <w:tcPr>
            <w:tcW w:w="589" w:type="pct"/>
            <w:shd w:val="clear" w:color="auto" w:fill="FFFFFF"/>
            <w:vAlign w:val="center"/>
          </w:tcPr>
          <w:p>
            <w:pPr>
              <w:widowControl/>
              <w:spacing w:line="240" w:lineRule="exact"/>
              <w:jc w:val="left"/>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扣分原因和其他说明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01"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投  入</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27"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预算配置</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财政供养人员控制率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以100%为标准。在职人员控制率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100%，计5分；每超过一个百分点扣0.5分，扣完为止。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“三公经费”变动率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“三公经费”变动率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0,计5分；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“三公经费”＞0，每超过一个百分点扣0.5分，扣完为止。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重点支出</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安排率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重点支出安排率≥90%，计5分；80%（含）-90%，计4分；70%（含）-80%，计3分；60%（含）-70%，计2分；低于60%不得分。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5</w:t>
            </w: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501"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过  程</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（40分）</w:t>
            </w:r>
          </w:p>
        </w:tc>
        <w:tc>
          <w:tcPr>
            <w:tcW w:w="527" w:type="pct"/>
            <w:vMerge w:val="restar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预算执行</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预算调整率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预算调整率=0，计3分；0-10%（含），计2分；10-20%（含），计1分；20-30%（含），计0.5分；大于30%不得分。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支付进度</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春节前下达全部专项资金的50%；6月底前所有专项资金指标全部下达完。</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每出现一个专项未按进度完成资金下达扣0.5分，扣完为止。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资金结余</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无结余，3分；有结余，但不超过上年结转，2分；结余超过上年结转，不得分。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vAlign w:val="center"/>
          </w:tcPr>
          <w:p>
            <w:pPr>
              <w:widowControl/>
              <w:spacing w:line="240" w:lineRule="exact"/>
              <w:jc w:val="left"/>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“三公经费”</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控制率</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以100%为标准。三公经费控制率</w:t>
            </w:r>
            <w:r>
              <w:rPr>
                <w:rFonts w:hint="eastAsia" w:ascii="宋体" w:hAnsi="宋体" w:cs="宋体"/>
                <w:color w:val="000000" w:themeColor="text1"/>
                <w:kern w:val="0"/>
                <w:sz w:val="18"/>
                <w:szCs w:val="18"/>
              </w:rPr>
              <w:t>≦</w:t>
            </w:r>
            <w:r>
              <w:rPr>
                <w:rFonts w:hint="eastAsia" w:ascii="仿宋_GB2312" w:hAnsi="宋体" w:cs="宋体"/>
                <w:color w:val="000000" w:themeColor="text1"/>
                <w:kern w:val="0"/>
                <w:sz w:val="18"/>
                <w:szCs w:val="18"/>
              </w:rPr>
              <w:t>100%，计6分；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每超过一个百分点扣1分，扣完为止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6</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6</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管理制度</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健全性</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①已制定或具有预算资金管理办法，内部财务管理制度、会计核算制度等管理制度，1分；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②相关管理制度合法、合规、完整，1分；</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③相关管理制度得到有效执行，1分。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资金使用</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合规性</w:t>
            </w:r>
          </w:p>
        </w:tc>
        <w:tc>
          <w:tcPr>
            <w:tcW w:w="2133" w:type="pct"/>
            <w:vAlign w:val="center"/>
          </w:tcPr>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①支出符合国家财经法规和财务管理制度规定以及有关专项资金管理办法的规定；</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②资金拨付有完整的审批程序和手续；</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③项目支出按规定经过评估论证；</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④支出符合部门预算批复的用途；</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⑤资金使用无截留、挤占、挪用、虚列支出等情况。</w:t>
            </w:r>
          </w:p>
          <w:p>
            <w:pPr>
              <w:widowControl/>
              <w:spacing w:line="20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以上情况每出现一例不符合要求的扣1分，扣完为止。</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预决算信息公开性和完善性</w:t>
            </w:r>
          </w:p>
        </w:tc>
        <w:tc>
          <w:tcPr>
            <w:tcW w:w="2133" w:type="pct"/>
            <w:shd w:val="clear" w:color="auto" w:fill="auto"/>
            <w:vAlign w:val="center"/>
          </w:tcPr>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①按规定内容公开预决算信息，1分；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②按规定时限公开预决算信息，0.5分；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③基础数据信息和会计信息资料真实，0.5分；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④基础数据信息和会计信息资料完整，0.5分；</w:t>
            </w:r>
          </w:p>
          <w:p>
            <w:pPr>
              <w:widowControl/>
              <w:spacing w:line="22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⑤基础数据信息和汇集信息资料准确，0.5分。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过  程</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（40分）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（15分）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政府采购执行率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政府采购执行率等于100%的，得3分；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每减少一个百分点，扣0.2分，扣完为止。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公务卡刷卡率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公务卡刷卡率达30％以上的，得3分。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每减少一个百分点，扣0.2分，扣完为止。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资产管理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管理制度</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健全性</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①已制定或具有资产管理制度，且相关资产管理制度合法、合规、完整，2分；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②相关资产管理制度得到有效执行，1分。                                           </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3</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资产管理</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安全性</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①资产保存完整；</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②资产配置合理；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xml:space="preserve">③资产处置规范； </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④资产账务管理合规，帐实相符；</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⑤资产有偿使用及处置收入及时足额上缴；</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以上情况每出现一例不符合有关要求的扣1分，扣完为止。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501"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left"/>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固定资产</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利用率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每低于100%一个百分点扣0.1分，扣完为止。</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3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产  出（25分）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职责履行</w:t>
            </w:r>
          </w:p>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（25分）</w:t>
            </w:r>
          </w:p>
        </w:tc>
        <w:tc>
          <w:tcPr>
            <w:tcW w:w="589"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质量指标</w:t>
            </w: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市级以上文保单位完好率≥</w:t>
            </w:r>
            <w:r>
              <w:rPr>
                <w:rFonts w:ascii="仿宋_GB2312" w:hAnsi="宋体" w:cs="宋体"/>
                <w:color w:val="000000" w:themeColor="text1"/>
                <w:kern w:val="0"/>
                <w:sz w:val="18"/>
                <w:szCs w:val="18"/>
              </w:rPr>
              <w:t>80%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ind w:firstLine="180" w:firstLineChars="100"/>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restar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文物维修合格率100%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5</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数量指标</w:t>
            </w: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岳阳楼景区全年全天候开放，重点文物保护地带24小时专人在岗值守</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2133" w:type="pct"/>
            <w:shd w:val="clear" w:color="auto" w:fill="auto"/>
            <w:vAlign w:val="center"/>
          </w:tcPr>
          <w:p>
            <w:pPr>
              <w:autoSpaceDN w:val="0"/>
              <w:spacing w:line="320" w:lineRule="exact"/>
              <w:jc w:val="left"/>
              <w:textAlignment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每天对岳阳楼景区内文物进行安全巡查，并做好巡查记录</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时效指标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目标任务完成及时率100%</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501"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27" w:type="pct"/>
            <w:vMerge w:val="continue"/>
            <w:shd w:val="clear" w:color="auto" w:fill="auto"/>
            <w:vAlign w:val="center"/>
          </w:tcPr>
          <w:p>
            <w:pPr>
              <w:widowControl/>
              <w:spacing w:line="240" w:lineRule="exact"/>
              <w:jc w:val="center"/>
              <w:rPr>
                <w:rFonts w:ascii="仿宋_GB2312" w:hAnsi="宋体" w:cs="宋体"/>
                <w:color w:val="000000" w:themeColor="text1"/>
                <w:kern w:val="0"/>
                <w:sz w:val="18"/>
                <w:szCs w:val="18"/>
              </w:rPr>
            </w:pP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成本指标</w:t>
            </w:r>
          </w:p>
        </w:tc>
        <w:tc>
          <w:tcPr>
            <w:tcW w:w="2133"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预算成本控制≤</w:t>
            </w:r>
            <w:r>
              <w:rPr>
                <w:rFonts w:ascii="仿宋_GB2312" w:hAnsi="宋体" w:cs="宋体"/>
                <w:color w:val="000000" w:themeColor="text1"/>
                <w:kern w:val="0"/>
                <w:sz w:val="18"/>
                <w:szCs w:val="18"/>
              </w:rPr>
              <w:t>707.38</w:t>
            </w:r>
            <w:r>
              <w:rPr>
                <w:rFonts w:hint="eastAsia" w:ascii="仿宋_GB2312" w:hAnsi="宋体" w:cs="宋体"/>
                <w:color w:val="000000" w:themeColor="text1"/>
                <w:kern w:val="0"/>
                <w:sz w:val="18"/>
                <w:szCs w:val="18"/>
              </w:rPr>
              <w:t>万</w:t>
            </w:r>
          </w:p>
        </w:tc>
        <w:tc>
          <w:tcPr>
            <w:tcW w:w="294"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4</w:t>
            </w:r>
          </w:p>
        </w:tc>
        <w:tc>
          <w:tcPr>
            <w:tcW w:w="589" w:type="pct"/>
            <w:vMerge w:val="continue"/>
            <w:shd w:val="clear" w:color="auto" w:fill="FFFFFF"/>
            <w:vAlign w:val="center"/>
          </w:tcPr>
          <w:p>
            <w:pPr>
              <w:widowControl/>
              <w:spacing w:line="240" w:lineRule="exact"/>
              <w:jc w:val="center"/>
              <w:rPr>
                <w:rFonts w:ascii="仿宋_GB2312" w:hAnsi="宋体" w:cs="宋体"/>
                <w:color w:val="000000" w:themeColor="text1"/>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501"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效  果</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（20分）</w:t>
            </w:r>
          </w:p>
        </w:tc>
        <w:tc>
          <w:tcPr>
            <w:tcW w:w="527" w:type="pct"/>
            <w:vMerge w:val="restar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履职效益</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（20分）</w:t>
            </w:r>
          </w:p>
        </w:tc>
        <w:tc>
          <w:tcPr>
            <w:tcW w:w="589" w:type="pct"/>
            <w:shd w:val="clear" w:color="auto" w:fill="auto"/>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社会效益</w:t>
            </w:r>
          </w:p>
        </w:tc>
        <w:tc>
          <w:tcPr>
            <w:tcW w:w="2133" w:type="pct"/>
            <w:shd w:val="clear" w:color="auto" w:fill="auto"/>
            <w:vAlign w:val="center"/>
          </w:tcPr>
          <w:p>
            <w:pPr>
              <w:widowControl/>
              <w:spacing w:line="240" w:lineRule="exact"/>
              <w:ind w:firstLine="90" w:firstLineChars="50"/>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切实强化文物保护效果</w:t>
            </w:r>
          </w:p>
        </w:tc>
        <w:tc>
          <w:tcPr>
            <w:tcW w:w="294" w:type="pct"/>
            <w:shd w:val="clear" w:color="auto" w:fill="auto"/>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w:t>
            </w:r>
          </w:p>
        </w:tc>
        <w:tc>
          <w:tcPr>
            <w:tcW w:w="367"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　</w:t>
            </w:r>
          </w:p>
        </w:tc>
        <w:tc>
          <w:tcPr>
            <w:tcW w:w="589" w:type="pct"/>
            <w:shd w:val="clear" w:color="auto" w:fill="FFFFFF"/>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501"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27" w:type="pct"/>
            <w:vMerge w:val="continue"/>
            <w:vAlign w:val="center"/>
          </w:tcPr>
          <w:p>
            <w:pPr>
              <w:widowControl/>
              <w:spacing w:line="240" w:lineRule="exact"/>
              <w:jc w:val="left"/>
              <w:rPr>
                <w:rFonts w:ascii="仿宋_GB2312" w:hAnsi="宋体" w:cs="宋体"/>
                <w:color w:val="000000" w:themeColor="text1"/>
                <w:kern w:val="0"/>
                <w:sz w:val="18"/>
                <w:szCs w:val="18"/>
              </w:rPr>
            </w:pPr>
          </w:p>
        </w:tc>
        <w:tc>
          <w:tcPr>
            <w:tcW w:w="589"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社会公众或服务对象满意度</w:t>
            </w:r>
          </w:p>
        </w:tc>
        <w:tc>
          <w:tcPr>
            <w:tcW w:w="2133" w:type="pct"/>
            <w:vAlign w:val="center"/>
          </w:tcPr>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95%（含）以上计10分；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85%（含）-95%，计8分；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75%（含）-85%，计5分；</w:t>
            </w:r>
          </w:p>
          <w:p>
            <w:pPr>
              <w:widowControl/>
              <w:spacing w:line="240" w:lineRule="exact"/>
              <w:jc w:val="left"/>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低于75%计0分。</w:t>
            </w:r>
          </w:p>
        </w:tc>
        <w:tc>
          <w:tcPr>
            <w:tcW w:w="294" w:type="pct"/>
            <w:vAlign w:val="center"/>
          </w:tcPr>
          <w:p>
            <w:pPr>
              <w:widowControl/>
              <w:spacing w:line="240" w:lineRule="exact"/>
              <w:jc w:val="center"/>
              <w:rPr>
                <w:rFonts w:ascii="仿宋_GB2312" w:hAnsi="宋体" w:cs="宋体"/>
                <w:color w:val="000000" w:themeColor="text1"/>
                <w:kern w:val="0"/>
                <w:sz w:val="18"/>
                <w:szCs w:val="18"/>
              </w:rPr>
            </w:pPr>
            <w:r>
              <w:rPr>
                <w:rFonts w:hint="eastAsia" w:ascii="仿宋_GB2312" w:hAnsi="宋体" w:cs="宋体"/>
                <w:color w:val="000000" w:themeColor="text1"/>
                <w:kern w:val="0"/>
                <w:sz w:val="18"/>
                <w:szCs w:val="18"/>
              </w:rPr>
              <w:t>10</w:t>
            </w:r>
          </w:p>
        </w:tc>
        <w:tc>
          <w:tcPr>
            <w:tcW w:w="367" w:type="pct"/>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10</w:t>
            </w:r>
          </w:p>
        </w:tc>
        <w:tc>
          <w:tcPr>
            <w:tcW w:w="589" w:type="pct"/>
            <w:vAlign w:val="center"/>
          </w:tcPr>
          <w:p>
            <w:pPr>
              <w:widowControl/>
              <w:spacing w:line="240" w:lineRule="exact"/>
              <w:jc w:val="center"/>
              <w:rPr>
                <w:rFonts w:ascii="黑体" w:hAnsi="黑体" w:eastAsia="黑体" w:cs="宋体"/>
                <w:color w:val="000000" w:themeColor="text1"/>
                <w:kern w:val="0"/>
                <w:sz w:val="18"/>
                <w:szCs w:val="18"/>
              </w:rPr>
            </w:pPr>
            <w:r>
              <w:rPr>
                <w:rFonts w:hint="eastAsia" w:ascii="黑体" w:hAnsi="黑体" w:eastAsia="黑体" w:cs="宋体"/>
                <w:color w:val="000000" w:themeColor="text1"/>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501"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总 分</w:t>
            </w:r>
          </w:p>
        </w:tc>
        <w:tc>
          <w:tcPr>
            <w:tcW w:w="527"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589"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2133"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c>
          <w:tcPr>
            <w:tcW w:w="294"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100</w:t>
            </w:r>
          </w:p>
        </w:tc>
        <w:tc>
          <w:tcPr>
            <w:tcW w:w="367"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100　</w:t>
            </w:r>
          </w:p>
        </w:tc>
        <w:tc>
          <w:tcPr>
            <w:tcW w:w="589" w:type="pct"/>
            <w:vAlign w:val="center"/>
          </w:tcPr>
          <w:p>
            <w:pPr>
              <w:widowControl/>
              <w:spacing w:line="240" w:lineRule="exact"/>
              <w:jc w:val="center"/>
              <w:rPr>
                <w:rFonts w:ascii="黑体" w:hAnsi="黑体" w:eastAsia="黑体" w:cs="宋体"/>
                <w:b/>
                <w:bCs/>
                <w:color w:val="000000" w:themeColor="text1"/>
                <w:kern w:val="0"/>
                <w:sz w:val="18"/>
                <w:szCs w:val="18"/>
              </w:rPr>
            </w:pPr>
            <w:r>
              <w:rPr>
                <w:rFonts w:hint="eastAsia" w:ascii="黑体" w:hAnsi="黑体" w:eastAsia="黑体" w:cs="宋体"/>
                <w:b/>
                <w:bCs/>
                <w:color w:val="000000" w:themeColor="text1"/>
                <w:kern w:val="0"/>
                <w:sz w:val="18"/>
                <w:szCs w:val="18"/>
              </w:rPr>
              <w:t>　</w:t>
            </w:r>
          </w:p>
        </w:tc>
      </w:tr>
    </w:tbl>
    <w:p>
      <w:pPr>
        <w:spacing w:line="380" w:lineRule="exact"/>
        <w:ind w:firstLine="560" w:firstLineChars="200"/>
        <w:rPr>
          <w:rFonts w:ascii="仿宋_GB2312" w:hAnsi="仿宋_GB2312" w:eastAsia="仿宋_GB2312" w:cs="仿宋_GB2312"/>
          <w:bCs/>
          <w:sz w:val="28"/>
          <w:szCs w:val="28"/>
        </w:rPr>
      </w:pPr>
    </w:p>
    <w:p>
      <w:pPr>
        <w:spacing w:line="380" w:lineRule="exact"/>
        <w:ind w:firstLine="560" w:firstLineChars="200"/>
        <w:rPr>
          <w:rFonts w:ascii="仿宋_GB2312" w:hAnsi="仿宋_GB2312" w:eastAsia="仿宋_GB2312" w:cs="仿宋_GB2312"/>
          <w:bCs/>
          <w:sz w:val="28"/>
          <w:szCs w:val="28"/>
        </w:rPr>
      </w:pPr>
    </w:p>
    <w:p>
      <w:pPr>
        <w:spacing w:line="380" w:lineRule="exact"/>
        <w:ind w:firstLine="560" w:firstLineChars="200"/>
        <w:rPr>
          <w:rFonts w:ascii="仿宋_GB2312" w:hAnsi="仿宋_GB2312" w:eastAsia="仿宋_GB2312" w:cs="仿宋_GB2312"/>
          <w:bCs/>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4"/>
        <w:szCs w:val="24"/>
      </w:rPr>
    </w:pPr>
    <w:r>
      <w:rPr>
        <w:rStyle w:val="6"/>
        <w:sz w:val="24"/>
        <w:szCs w:val="24"/>
      </w:rPr>
      <w:t xml:space="preserve">— </w:t>
    </w: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11</w:t>
    </w:r>
    <w:r>
      <w:rPr>
        <w:rStyle w:val="6"/>
        <w:sz w:val="24"/>
        <w:szCs w:val="24"/>
      </w:rPr>
      <w:fldChar w:fldCharType="end"/>
    </w:r>
    <w:r>
      <w:rPr>
        <w:rStyle w:val="6"/>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FiOTE4YmUxNWM4Zjc4MDFiOTdiNDE5OGUwZDY2MTgifQ=="/>
  </w:docVars>
  <w:rsids>
    <w:rsidRoot w:val="74B60897"/>
    <w:rsid w:val="000440D1"/>
    <w:rsid w:val="00082E12"/>
    <w:rsid w:val="00087208"/>
    <w:rsid w:val="000F629C"/>
    <w:rsid w:val="0012620E"/>
    <w:rsid w:val="0017000C"/>
    <w:rsid w:val="001C591D"/>
    <w:rsid w:val="001D1431"/>
    <w:rsid w:val="001E014C"/>
    <w:rsid w:val="001E024F"/>
    <w:rsid w:val="00237E7A"/>
    <w:rsid w:val="00277F3A"/>
    <w:rsid w:val="002A35B7"/>
    <w:rsid w:val="002E4558"/>
    <w:rsid w:val="00317266"/>
    <w:rsid w:val="00351B08"/>
    <w:rsid w:val="003767C4"/>
    <w:rsid w:val="00391410"/>
    <w:rsid w:val="003C5C7D"/>
    <w:rsid w:val="003E0D23"/>
    <w:rsid w:val="00492A54"/>
    <w:rsid w:val="004B1199"/>
    <w:rsid w:val="004C7B89"/>
    <w:rsid w:val="004D0369"/>
    <w:rsid w:val="005318B3"/>
    <w:rsid w:val="00597668"/>
    <w:rsid w:val="005B4491"/>
    <w:rsid w:val="005E20FE"/>
    <w:rsid w:val="006639B4"/>
    <w:rsid w:val="006A69C8"/>
    <w:rsid w:val="006B2A07"/>
    <w:rsid w:val="006C778F"/>
    <w:rsid w:val="006D290F"/>
    <w:rsid w:val="006F2523"/>
    <w:rsid w:val="00712A2B"/>
    <w:rsid w:val="007160B5"/>
    <w:rsid w:val="0072266E"/>
    <w:rsid w:val="0076770F"/>
    <w:rsid w:val="00772576"/>
    <w:rsid w:val="008110FA"/>
    <w:rsid w:val="00826296"/>
    <w:rsid w:val="00832886"/>
    <w:rsid w:val="0083409F"/>
    <w:rsid w:val="008614C4"/>
    <w:rsid w:val="00884C53"/>
    <w:rsid w:val="00911289"/>
    <w:rsid w:val="00927402"/>
    <w:rsid w:val="00943CFE"/>
    <w:rsid w:val="009446BF"/>
    <w:rsid w:val="009B605B"/>
    <w:rsid w:val="009E09D2"/>
    <w:rsid w:val="009E5EA4"/>
    <w:rsid w:val="00A3741C"/>
    <w:rsid w:val="00A57ED1"/>
    <w:rsid w:val="00A632FB"/>
    <w:rsid w:val="00A92CCD"/>
    <w:rsid w:val="00AF5312"/>
    <w:rsid w:val="00B22592"/>
    <w:rsid w:val="00B32786"/>
    <w:rsid w:val="00B84621"/>
    <w:rsid w:val="00BC015A"/>
    <w:rsid w:val="00BE56F1"/>
    <w:rsid w:val="00C2126F"/>
    <w:rsid w:val="00C6632E"/>
    <w:rsid w:val="00C86D8C"/>
    <w:rsid w:val="00CA59D1"/>
    <w:rsid w:val="00CB2C4E"/>
    <w:rsid w:val="00CC63F9"/>
    <w:rsid w:val="00CE70E4"/>
    <w:rsid w:val="00D30D59"/>
    <w:rsid w:val="00D410EB"/>
    <w:rsid w:val="00E503E7"/>
    <w:rsid w:val="00E70EB3"/>
    <w:rsid w:val="00E83860"/>
    <w:rsid w:val="00ED4952"/>
    <w:rsid w:val="00ED5D17"/>
    <w:rsid w:val="00F30B7F"/>
    <w:rsid w:val="00F727BC"/>
    <w:rsid w:val="00FF2509"/>
    <w:rsid w:val="0F773D2B"/>
    <w:rsid w:val="1C581512"/>
    <w:rsid w:val="743840D6"/>
    <w:rsid w:val="74B6089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5170</Words>
  <Characters>5533</Characters>
  <Lines>45</Lines>
  <Paragraphs>12</Paragraphs>
  <TotalTime>62</TotalTime>
  <ScaleCrop>false</ScaleCrop>
  <LinksUpToDate>false</LinksUpToDate>
  <CharactersWithSpaces>5715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2022-06-21T03:16:00Z</dcterms:created>
  <dc:creator>Moonn~</dc:creator>
  <cp:lastModifiedBy>宋蔚</cp:lastModifiedBy>
  <dcterms:modified xsi:type="dcterms:W3CDTF">2022-06-21T07:50:03Z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CA4C2D6E5DC740A7988C3C7E5EFE2769</vt:lpwstr>
  </property>
</Properties>
</file>