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202</w:t>
      </w:r>
      <w:r>
        <w:rPr>
          <w:rFonts w:hint="eastAsia" w:eastAsia="方正小标宋简体"/>
          <w:bCs/>
          <w:sz w:val="46"/>
          <w:szCs w:val="46"/>
        </w:rPr>
        <w:t>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名称：岳阳市城区文物保护中心</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算编码：501009</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报告日期：2022年6月15日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440"/>
        <w:gridCol w:w="567"/>
        <w:gridCol w:w="1552"/>
        <w:gridCol w:w="226"/>
        <w:gridCol w:w="348"/>
        <w:gridCol w:w="425"/>
        <w:gridCol w:w="762"/>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龚</w:t>
            </w:r>
            <w:r>
              <w:rPr>
                <w:rFonts w:ascii="仿宋_GB2312" w:hAnsi="仿宋_GB2312" w:eastAsia="仿宋_GB2312" w:cs="仿宋_GB2312"/>
                <w:color w:val="000000"/>
                <w:sz w:val="24"/>
              </w:rPr>
              <w:t>雯</w:t>
            </w:r>
          </w:p>
        </w:tc>
        <w:tc>
          <w:tcPr>
            <w:tcW w:w="1552"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18692189228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1552"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widowControl/>
              <w:rPr>
                <w:rFonts w:eastAsia="仿宋_GB2312"/>
                <w:kern w:val="0"/>
                <w:sz w:val="24"/>
              </w:rPr>
            </w:pPr>
            <w:r>
              <w:rPr>
                <w:rFonts w:hint="eastAsia" w:eastAsia="仿宋_GB2312" w:cs="仿宋_GB2312"/>
                <w:sz w:val="24"/>
              </w:rPr>
              <w:t>负责岳阳中心城区全国重点文物保护单位和省级文物保护单位的维修、保护和开发。利用文物古建筑场所进行文物展示、举办陈列展览和各类文化活动。</w:t>
            </w:r>
            <w:r>
              <w:rPr>
                <w:rFonts w:eastAsia="仿宋_GB2312"/>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76"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cs="仿宋_GB2312"/>
                <w:sz w:val="24"/>
              </w:rPr>
              <w:t>对岳阳中心城区全国重点文物保护单位和省级文物保护单位及时保护、较好维修，不定期利用文物古建筑场所进行文物展示，举办陈列展览和各类文化活动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1、每天对中心城区全国文物保护单位和省级文物保护单位检查巡视，开展文物保护专题宣传活动4次。保障岳阳文庙、慈氏塔、鲁肃墓日常运转，各项展览活动及时展开，重点文物单位得到有效保护。</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完成了岳阳文庙安防系统升级改造工程、保护设施工程验收及消防系统升级改造工程的验收工作。推进岳阳文庙大成殿地基下沉检测、监测及建筑病害治理。完成了《岳阳文庙对外开放方案（草案）》，2021年12月底岳阳文庙对外开放。</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3、完成了鲁肃墓环境整治工程施工及验收工作。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4、组织完成了《慈氏塔文物保护规划》经省文物局报省政府审批实施的修改、申报工作。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7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岳阳市城区文物保护中心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127.29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127.29</w:t>
            </w:r>
          </w:p>
        </w:tc>
        <w:tc>
          <w:tcPr>
            <w:tcW w:w="177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07"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78"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07"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78"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133" w:type="dxa"/>
            <w:gridSpan w:val="5"/>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87"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26"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8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岳阳市城区文物保护中心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127.29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79.69</w:t>
            </w:r>
          </w:p>
        </w:tc>
        <w:tc>
          <w:tcPr>
            <w:tcW w:w="1007"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71.48</w:t>
            </w:r>
          </w:p>
        </w:tc>
        <w:tc>
          <w:tcPr>
            <w:tcW w:w="2126" w:type="dxa"/>
            <w:gridSpan w:val="3"/>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8.21</w:t>
            </w:r>
          </w:p>
        </w:tc>
        <w:tc>
          <w:tcPr>
            <w:tcW w:w="118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47.6</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26"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8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26"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8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26"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8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26"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532"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岳阳市城区文物保护中心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26"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32"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26"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32"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26"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32"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26"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32"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717"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岳阳市城区文物保护中心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31</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82</w:t>
            </w: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31</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82</w:t>
            </w:r>
          </w:p>
        </w:tc>
        <w:tc>
          <w:tcPr>
            <w:tcW w:w="371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71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71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71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0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658"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9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01"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1、做好不可移动文物的值守和保护。</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2、开展各级文物的抢救和保养。</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3、提升文物保护的水平和力量。</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4、推动非物质文化遗产的保护和传承</w:t>
            </w:r>
          </w:p>
          <w:p>
            <w:pPr>
              <w:autoSpaceDN w:val="0"/>
              <w:spacing w:line="320" w:lineRule="exact"/>
              <w:jc w:val="left"/>
              <w:textAlignment w:val="center"/>
              <w:rPr>
                <w:rFonts w:ascii="仿宋_GB2312" w:hAnsi="仿宋_GB2312" w:eastAsia="仿宋_GB2312" w:cs="仿宋_GB2312"/>
                <w:color w:val="000000"/>
                <w:sz w:val="24"/>
              </w:rPr>
            </w:pPr>
          </w:p>
        </w:tc>
        <w:tc>
          <w:tcPr>
            <w:tcW w:w="4658" w:type="dxa"/>
            <w:gridSpan w:val="9"/>
            <w:vAlign w:val="center"/>
          </w:tcPr>
          <w:p>
            <w:pPr>
              <w:autoSpaceDN w:val="0"/>
              <w:spacing w:line="3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Cs w:val="21"/>
              </w:rPr>
              <w:t>、每天对中心城区全国文物保护单位和省级文物保护单位检查巡视。</w:t>
            </w:r>
          </w:p>
          <w:p>
            <w:pPr>
              <w:autoSpaceDN w:val="0"/>
              <w:spacing w:line="3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2、完成了岳阳文庙地基下沉的情况汇报及项目申报；完成了岳阳文庙北面围墙和大成殿北墙临时性支撑工程。</w:t>
            </w:r>
          </w:p>
          <w:p>
            <w:pPr>
              <w:autoSpaceDN w:val="0"/>
              <w:spacing w:line="3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申报了岳阳文庙展示利用工程和岳阳文庙环境整治工程两个国家级项目；申报了文物日常维护项目、岳阳文庙地基沉降注浆加固项目、岳阳文庙环境整治项目、岳阳文庙文物建筑病害前期监测监测项目四个市级项目；完成了岳阳文庙安防监控系统升级改造工程项目初验；岳阳文庙消防系统升级改造工程项目已完工，拟对项目进行初验；鲁肃墓环境整治工程正在进行陈展及浮雕安装的收尾工程，已完成工程总量的85%。</w:t>
            </w:r>
          </w:p>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Cs w:val="21"/>
              </w:rPr>
              <w:t>4、开展文物保护专题宣传活动4次。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313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3118"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107"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585"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数量指标</w:t>
            </w:r>
          </w:p>
        </w:tc>
        <w:tc>
          <w:tcPr>
            <w:tcW w:w="3118" w:type="dxa"/>
            <w:gridSpan w:val="5"/>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完成文物保护专题宣传活动3场</w:t>
            </w:r>
          </w:p>
        </w:tc>
        <w:tc>
          <w:tcPr>
            <w:tcW w:w="2107" w:type="dxa"/>
            <w:gridSpan w:val="5"/>
            <w:vAlign w:val="center"/>
          </w:tcPr>
          <w:p>
            <w:pPr>
              <w:autoSpaceDN w:val="0"/>
              <w:spacing w:line="320" w:lineRule="exact"/>
              <w:ind w:firstLine="630" w:firstLineChars="30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585" w:type="dxa"/>
            <w:gridSpan w:val="2"/>
            <w:vMerge w:val="continue"/>
            <w:vAlign w:val="center"/>
          </w:tcPr>
          <w:p>
            <w:pPr>
              <w:spacing w:line="320" w:lineRule="exact"/>
              <w:rPr>
                <w:rFonts w:ascii="仿宋_GB2312" w:hAnsi="仿宋_GB2312" w:eastAsia="仿宋_GB2312" w:cs="仿宋_GB2312"/>
                <w:szCs w:val="21"/>
              </w:rPr>
            </w:pPr>
          </w:p>
        </w:tc>
        <w:tc>
          <w:tcPr>
            <w:tcW w:w="3118" w:type="dxa"/>
            <w:gridSpan w:val="5"/>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每天完成文物保护单位检查巡视</w:t>
            </w:r>
          </w:p>
        </w:tc>
        <w:tc>
          <w:tcPr>
            <w:tcW w:w="2107" w:type="dxa"/>
            <w:gridSpan w:val="5"/>
            <w:vAlign w:val="center"/>
          </w:tcPr>
          <w:p>
            <w:pPr>
              <w:autoSpaceDN w:val="0"/>
              <w:spacing w:line="320" w:lineRule="exact"/>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color w:val="000000"/>
                <w:szCs w:val="21"/>
              </w:rPr>
              <w:t>每天完成检查巡视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8"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585"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质量指标</w:t>
            </w:r>
          </w:p>
        </w:tc>
        <w:tc>
          <w:tcPr>
            <w:tcW w:w="3118" w:type="dxa"/>
            <w:gridSpan w:val="5"/>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eastAsia="仿宋_GB2312" w:cs="仿宋_GB2312"/>
                <w:szCs w:val="21"/>
              </w:rPr>
              <w:t>市级以上文保单位完好率</w:t>
            </w:r>
            <w:r>
              <w:rPr>
                <w:rFonts w:hint="eastAsia" w:ascii="仿宋_GB2312" w:eastAsia="仿宋_GB2312" w:cs="仿宋_GB2312"/>
                <w:szCs w:val="21"/>
              </w:rPr>
              <w:t>≥</w:t>
            </w:r>
            <w:r>
              <w:rPr>
                <w:rFonts w:ascii="仿宋_GB2312" w:eastAsia="仿宋_GB2312" w:cs="仿宋_GB2312"/>
                <w:szCs w:val="21"/>
              </w:rPr>
              <w:t>80%</w:t>
            </w:r>
          </w:p>
        </w:tc>
        <w:tc>
          <w:tcPr>
            <w:tcW w:w="2107" w:type="dxa"/>
            <w:gridSpan w:val="5"/>
            <w:vAlign w:val="center"/>
          </w:tcPr>
          <w:p>
            <w:pPr>
              <w:autoSpaceDN w:val="0"/>
              <w:spacing w:line="320" w:lineRule="exact"/>
              <w:ind w:firstLine="735" w:firstLineChars="35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585" w:type="dxa"/>
            <w:gridSpan w:val="2"/>
            <w:vMerge w:val="continue"/>
            <w:vAlign w:val="center"/>
          </w:tcPr>
          <w:p>
            <w:pPr>
              <w:autoSpaceDN w:val="0"/>
              <w:spacing w:line="320" w:lineRule="exact"/>
              <w:jc w:val="center"/>
              <w:textAlignment w:val="center"/>
              <w:rPr>
                <w:rFonts w:ascii="仿宋_GB2312" w:hAnsi="仿宋_GB2312" w:eastAsia="仿宋_GB2312" w:cs="仿宋_GB2312"/>
                <w:szCs w:val="21"/>
              </w:rPr>
            </w:pPr>
          </w:p>
        </w:tc>
        <w:tc>
          <w:tcPr>
            <w:tcW w:w="3118" w:type="dxa"/>
            <w:gridSpan w:val="5"/>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eastAsia="仿宋_GB2312" w:cs="仿宋_GB2312"/>
                <w:szCs w:val="21"/>
              </w:rPr>
              <w:t>文物维修合格率</w:t>
            </w:r>
            <w:r>
              <w:rPr>
                <w:rFonts w:hint="eastAsia" w:ascii="仿宋_GB2312" w:hAnsi="仿宋_GB2312" w:eastAsia="仿宋_GB2312" w:cs="仿宋_GB2312"/>
                <w:color w:val="000000"/>
                <w:szCs w:val="21"/>
              </w:rPr>
              <w:t>100%</w:t>
            </w:r>
          </w:p>
        </w:tc>
        <w:tc>
          <w:tcPr>
            <w:tcW w:w="2107" w:type="dxa"/>
            <w:gridSpan w:val="5"/>
            <w:vAlign w:val="center"/>
          </w:tcPr>
          <w:p>
            <w:pPr>
              <w:autoSpaceDN w:val="0"/>
              <w:spacing w:line="320" w:lineRule="exact"/>
              <w:ind w:firstLine="735" w:firstLineChars="350"/>
              <w:textAlignment w:val="center"/>
              <w:rPr>
                <w:rFonts w:ascii="仿宋_GB2312" w:hAnsi="仿宋_GB2312" w:eastAsia="仿宋_GB2312" w:cs="仿宋_GB2312"/>
                <w:b/>
                <w:color w:val="000000"/>
                <w:szCs w:val="21"/>
              </w:rPr>
            </w:pPr>
            <w:r>
              <w:rPr>
                <w:rFonts w:hint="eastAsia" w:ascii="仿宋_GB2312" w:hAnsi="仿宋_GB2312" w:eastAsia="仿宋_GB2312" w:cs="仿宋_GB2312"/>
                <w:color w:val="00000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585" w:type="dxa"/>
            <w:gridSpan w:val="2"/>
            <w:vAlign w:val="center"/>
          </w:tcPr>
          <w:p>
            <w:pPr>
              <w:widowControl/>
              <w:jc w:val="center"/>
              <w:rPr>
                <w:rFonts w:eastAsia="仿宋_GB2312"/>
                <w:kern w:val="0"/>
                <w:szCs w:val="21"/>
              </w:rPr>
            </w:pPr>
            <w:r>
              <w:rPr>
                <w:rFonts w:eastAsia="仿宋_GB2312"/>
                <w:kern w:val="0"/>
                <w:szCs w:val="21"/>
              </w:rPr>
              <w:t>时效指标</w:t>
            </w:r>
          </w:p>
        </w:tc>
        <w:tc>
          <w:tcPr>
            <w:tcW w:w="3118" w:type="dxa"/>
            <w:gridSpan w:val="5"/>
            <w:vAlign w:val="center"/>
          </w:tcPr>
          <w:p>
            <w:pPr>
              <w:autoSpaceDN w:val="0"/>
              <w:spacing w:line="320" w:lineRule="exact"/>
              <w:jc w:val="left"/>
              <w:textAlignment w:val="center"/>
              <w:rPr>
                <w:rFonts w:eastAsia="仿宋_GB2312" w:cs="仿宋_GB2312"/>
                <w:szCs w:val="21"/>
              </w:rPr>
            </w:pPr>
            <w:r>
              <w:rPr>
                <w:rFonts w:hint="eastAsia" w:eastAsia="仿宋_GB2312" w:cs="仿宋_GB2312"/>
                <w:szCs w:val="21"/>
              </w:rPr>
              <w:t>目标任务完成及时率</w:t>
            </w:r>
            <w:r>
              <w:rPr>
                <w:rFonts w:hint="eastAsia" w:ascii="仿宋_GB2312" w:hAnsi="仿宋_GB2312" w:eastAsia="仿宋_GB2312" w:cs="仿宋_GB2312"/>
                <w:color w:val="000000"/>
                <w:szCs w:val="21"/>
              </w:rPr>
              <w:t>100%</w:t>
            </w:r>
          </w:p>
        </w:tc>
        <w:tc>
          <w:tcPr>
            <w:tcW w:w="2107" w:type="dxa"/>
            <w:gridSpan w:val="5"/>
            <w:vAlign w:val="center"/>
          </w:tcPr>
          <w:p>
            <w:pPr>
              <w:autoSpaceDN w:val="0"/>
              <w:spacing w:line="320" w:lineRule="exact"/>
              <w:ind w:firstLine="735" w:firstLineChars="35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585" w:type="dxa"/>
            <w:gridSpan w:val="2"/>
            <w:vAlign w:val="center"/>
          </w:tcPr>
          <w:p>
            <w:pPr>
              <w:widowControl/>
              <w:jc w:val="center"/>
              <w:rPr>
                <w:rFonts w:eastAsia="仿宋_GB2312"/>
                <w:kern w:val="0"/>
                <w:szCs w:val="21"/>
              </w:rPr>
            </w:pPr>
            <w:r>
              <w:rPr>
                <w:rFonts w:eastAsia="仿宋_GB2312"/>
                <w:kern w:val="0"/>
                <w:szCs w:val="21"/>
              </w:rPr>
              <w:t>成本指标</w:t>
            </w:r>
          </w:p>
        </w:tc>
        <w:tc>
          <w:tcPr>
            <w:tcW w:w="3118" w:type="dxa"/>
            <w:gridSpan w:val="5"/>
            <w:vAlign w:val="center"/>
          </w:tcPr>
          <w:p>
            <w:pPr>
              <w:autoSpaceDN w:val="0"/>
              <w:spacing w:line="320" w:lineRule="exact"/>
              <w:jc w:val="left"/>
              <w:textAlignment w:val="center"/>
              <w:rPr>
                <w:rFonts w:eastAsia="仿宋_GB2312" w:cs="仿宋_GB2312"/>
                <w:szCs w:val="21"/>
              </w:rPr>
            </w:pPr>
            <w:r>
              <w:rPr>
                <w:rFonts w:hint="eastAsia" w:eastAsia="仿宋_GB2312" w:cs="仿宋_GB2312"/>
                <w:szCs w:val="21"/>
              </w:rPr>
              <w:t>预算成本控制</w:t>
            </w:r>
            <w:r>
              <w:rPr>
                <w:rFonts w:hint="eastAsia" w:ascii="仿宋" w:hAnsi="仿宋" w:eastAsia="仿宋" w:cs="仿宋_GB2312"/>
                <w:color w:val="000000"/>
                <w:szCs w:val="21"/>
              </w:rPr>
              <w:t>≤</w:t>
            </w:r>
            <w:r>
              <w:rPr>
                <w:rFonts w:hint="eastAsia" w:ascii="仿宋_GB2312" w:hAnsi="仿宋_GB2312" w:eastAsia="仿宋_GB2312" w:cs="仿宋_GB2312"/>
                <w:color w:val="000000"/>
                <w:szCs w:val="21"/>
              </w:rPr>
              <w:t>127.29万</w:t>
            </w:r>
          </w:p>
        </w:tc>
        <w:tc>
          <w:tcPr>
            <w:tcW w:w="2107" w:type="dxa"/>
            <w:gridSpan w:val="5"/>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127.29万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585"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社会效益</w:t>
            </w:r>
          </w:p>
        </w:tc>
        <w:tc>
          <w:tcPr>
            <w:tcW w:w="3118" w:type="dxa"/>
            <w:gridSpan w:val="5"/>
            <w:vAlign w:val="center"/>
          </w:tcPr>
          <w:p>
            <w:pPr>
              <w:autoSpaceDN w:val="0"/>
              <w:spacing w:line="360" w:lineRule="exact"/>
              <w:jc w:val="left"/>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强化文物保护效果</w:t>
            </w:r>
          </w:p>
        </w:tc>
        <w:tc>
          <w:tcPr>
            <w:tcW w:w="2107" w:type="dxa"/>
            <w:gridSpan w:val="5"/>
            <w:vAlign w:val="center"/>
          </w:tcPr>
          <w:p>
            <w:pPr>
              <w:autoSpaceDN w:val="0"/>
              <w:spacing w:line="360" w:lineRule="exact"/>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切实加强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585"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社会公众或服务对象满意度</w:t>
            </w:r>
          </w:p>
        </w:tc>
        <w:tc>
          <w:tcPr>
            <w:tcW w:w="3118" w:type="dxa"/>
            <w:gridSpan w:val="5"/>
            <w:vAlign w:val="center"/>
          </w:tcPr>
          <w:p>
            <w:pPr>
              <w:autoSpaceDN w:val="0"/>
              <w:spacing w:line="360" w:lineRule="exact"/>
              <w:jc w:val="left"/>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社会公众满意度</w:t>
            </w:r>
            <w:r>
              <w:rPr>
                <w:rFonts w:hint="eastAsia" w:ascii="仿宋_GB2312" w:eastAsia="仿宋_GB2312" w:cs="仿宋_GB2312"/>
                <w:szCs w:val="21"/>
              </w:rPr>
              <w:t>≥9</w:t>
            </w:r>
            <w:r>
              <w:rPr>
                <w:rFonts w:ascii="仿宋_GB2312" w:eastAsia="仿宋_GB2312" w:cs="仿宋_GB2312"/>
                <w:szCs w:val="21"/>
              </w:rPr>
              <w:t>0%</w:t>
            </w:r>
          </w:p>
        </w:tc>
        <w:tc>
          <w:tcPr>
            <w:tcW w:w="2107" w:type="dxa"/>
            <w:gridSpan w:val="5"/>
            <w:vAlign w:val="center"/>
          </w:tcPr>
          <w:p>
            <w:pPr>
              <w:autoSpaceDN w:val="0"/>
              <w:spacing w:line="360" w:lineRule="exact"/>
              <w:jc w:val="center"/>
              <w:textAlignment w:val="center"/>
              <w:rPr>
                <w:rFonts w:ascii="仿宋_GB2312" w:hAnsi="仿宋_GB2312" w:eastAsia="仿宋_GB2312" w:cs="仿宋_GB2312"/>
                <w:color w:val="000000"/>
                <w:szCs w:val="21"/>
              </w:rPr>
            </w:pPr>
            <w:r>
              <w:rPr>
                <w:rFonts w:hint="eastAsia" w:ascii="仿宋_GB2312" w:eastAsia="仿宋_GB2312" w:cs="仿宋_GB2312"/>
                <w:szCs w:val="21"/>
              </w:rPr>
              <w:t>100</w:t>
            </w:r>
            <w:r>
              <w:rPr>
                <w:rFonts w:hint="eastAsia" w:ascii="仿宋_GB2312" w:hAnsi="仿宋_GB2312" w:eastAsia="仿宋_GB2312" w:cs="仿宋_GB2312"/>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552"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钟伟</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书记</w:t>
            </w:r>
          </w:p>
        </w:tc>
        <w:tc>
          <w:tcPr>
            <w:tcW w:w="1552"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胡燕</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综合办主任</w:t>
            </w:r>
          </w:p>
        </w:tc>
        <w:tc>
          <w:tcPr>
            <w:tcW w:w="1552"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龚</w:t>
            </w:r>
            <w:r>
              <w:rPr>
                <w:rFonts w:ascii="仿宋_GB2312" w:hAnsi="仿宋_GB2312" w:eastAsia="仿宋_GB2312" w:cs="仿宋_GB2312"/>
                <w:color w:val="000000"/>
                <w:sz w:val="24"/>
              </w:rPr>
              <w:t>雯</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出纳</w:t>
            </w:r>
          </w:p>
        </w:tc>
        <w:tc>
          <w:tcPr>
            <w:tcW w:w="1552"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52"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年月日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4"/>
        <w:tblW w:w="0" w:type="auto"/>
        <w:jc w:val="center"/>
        <w:tblLayout w:type="autofit"/>
        <w:tblCellMar>
          <w:top w:w="0" w:type="dxa"/>
          <w:left w:w="108" w:type="dxa"/>
          <w:bottom w:w="0" w:type="dxa"/>
          <w:right w:w="108" w:type="dxa"/>
        </w:tblCellMar>
      </w:tblPr>
      <w:tblGrid>
        <w:gridCol w:w="9860"/>
      </w:tblGrid>
      <w:tr>
        <w:tblPrEx>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岳阳市城区文物保护中心为公益一类全额拨款性质的正科级单位，主要职能是负责岳阳中心城区全国重点文物保护单位和省级文物保护单位的维修，保护和开发，利用文物古建筑场所进行文物展示，举办陈列展览和各类文化活动。2021年单位正式在册工作人员9人，其中核定编制8名，超编1人，单位领导正职（主任）1名，副职（副主任）2名。设置了办公室、维保部、开发管理部及保卫部等4个职能部室。</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2021年11月15日，因事业单位分类改革机构整合，本中心已并入岳阳市文物保护中心。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1、根据</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rPr>
              <w:t>1年市本级部门预算批复，本单位预算收入</w:t>
            </w:r>
            <w:r>
              <w:rPr>
                <w:rFonts w:ascii="仿宋_GB2312" w:hAnsi="仿宋_GB2312" w:eastAsia="仿宋_GB2312" w:cs="仿宋_GB2312"/>
                <w:bCs/>
                <w:sz w:val="28"/>
                <w:szCs w:val="28"/>
              </w:rPr>
              <w:t>127.29万元，其中</w:t>
            </w:r>
            <w:r>
              <w:rPr>
                <w:rFonts w:hint="eastAsia" w:ascii="仿宋_GB2312" w:hAnsi="仿宋_GB2312" w:eastAsia="仿宋_GB2312" w:cs="仿宋_GB2312"/>
                <w:bCs/>
                <w:sz w:val="28"/>
                <w:szCs w:val="28"/>
              </w:rPr>
              <w:t>公共财政拨款</w:t>
            </w:r>
            <w:r>
              <w:rPr>
                <w:rFonts w:ascii="仿宋_GB2312" w:hAnsi="仿宋_GB2312" w:eastAsia="仿宋_GB2312" w:cs="仿宋_GB2312"/>
                <w:bCs/>
                <w:sz w:val="28"/>
                <w:szCs w:val="28"/>
              </w:rPr>
              <w:t>127.29万元；</w:t>
            </w:r>
            <w:r>
              <w:rPr>
                <w:rFonts w:hint="eastAsia" w:ascii="仿宋_GB2312" w:hAnsi="仿宋_GB2312" w:eastAsia="仿宋_GB2312" w:cs="仿宋_GB2312"/>
                <w:bCs/>
                <w:sz w:val="28"/>
                <w:szCs w:val="28"/>
              </w:rPr>
              <w:t>其中，一般公共预算拨款127.29万元，政府性基金预算拨款0万元，国有资本经营预算拨款0万元，纳入专户管理的非税收入0万元，上级补助收入0万元，事业单位经营收入0万元，上年结转0万元。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rPr>
              <w:t>1年支出预算127.29万元，其中，一般公共服务127.29万元，其中：文物保护科目7.91万元；一般行政管理事务（文化和旅游）科目47.6万元；其他残疾人事业支出科目0.78万元；住房公积金科目5.7万元；机关事业单位基本养老保险缴费支出科目7.6万元；事业单位医疗科目3.52万元；行政运行及文化和旅游科目54.18万元。</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2021年度中心基本支出79.69万元，其中人员支出71.48万元，公用支出</w:t>
            </w:r>
            <w:r>
              <w:rPr>
                <w:rFonts w:ascii="仿宋_GB2312" w:hAnsi="仿宋_GB2312" w:eastAsia="仿宋_GB2312" w:cs="仿宋_GB2312"/>
                <w:bCs/>
                <w:sz w:val="28"/>
                <w:szCs w:val="28"/>
              </w:rPr>
              <w:t>8.21万元</w:t>
            </w:r>
            <w:r>
              <w:rPr>
                <w:rFonts w:hint="eastAsia" w:ascii="仿宋_GB2312" w:hAnsi="仿宋_GB2312" w:eastAsia="仿宋_GB2312" w:cs="仿宋_GB2312"/>
                <w:bCs/>
                <w:sz w:val="28"/>
                <w:szCs w:val="28"/>
              </w:rPr>
              <w:t>，基本支出是为保障单位机构正常运转、完成日常工作任务而发生的各项支出，包括用于基本工资、津贴补贴等人员经费以及办公费、印刷费、水电费、差旅费等日常公用经费。</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（二）项目支出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2021年项目支出年初预算数为47.6万元，是移交国有资产出租收益返还，主要用于确保岳阳文庙、慈氏塔、鲁肃墓水电正常保障，文物保护正常，对外开放正常。</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（三）三公经费的使用和管理情况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本单位2021年“三公”经费预算数0万元。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（四）固定资产使用情况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截至2021年12月底，本单位固定资产合计</w:t>
            </w:r>
            <w:r>
              <w:rPr>
                <w:rFonts w:ascii="仿宋_GB2312" w:hAnsi="仿宋_GB2312" w:eastAsia="仿宋_GB2312" w:cs="仿宋_GB2312"/>
                <w:bCs/>
                <w:sz w:val="28"/>
                <w:szCs w:val="28"/>
              </w:rPr>
              <w:t>31.82万元，其中在用固定资产31.82万元</w:t>
            </w:r>
            <w:r>
              <w:rPr>
                <w:rFonts w:hint="eastAsia" w:ascii="仿宋_GB2312" w:hAnsi="仿宋_GB2312" w:eastAsia="仿宋_GB2312" w:cs="仿宋_GB2312"/>
                <w:bCs/>
                <w:sz w:val="28"/>
                <w:szCs w:val="28"/>
              </w:rPr>
              <w:t>。</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（一）夯实基础、确保单位正常运转。</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1、加强党建工作，强化安全管理工作。按照局党组统一部署和具体要求，完成了4次党史专题学习。召开组织生活会、民主评议党员工作。</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2、紧抓专业知识培训，提升业务技能能力。加强消防安全管理，多次参加安防、消防知识培训，先后邀请文物、安防、消防专家集中授课。全年组织干部职工学习了10次。</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3、强化管理。认真执行了财务制度、考勤制度、请假制度、学习制度等四项制度。特别是将考勤制度落到实处。全年组织干部职工学习了10次。</w:t>
            </w:r>
          </w:p>
          <w:p>
            <w:pPr>
              <w:ind w:firstLine="560" w:firstLineChars="200"/>
              <w:rPr>
                <w:rFonts w:ascii="黑体" w:hAnsi="黑体" w:eastAsia="黑体" w:cs="黑体"/>
                <w:color w:val="000000" w:themeColor="text1"/>
                <w:sz w:val="32"/>
                <w:szCs w:val="32"/>
              </w:rPr>
            </w:pPr>
            <w:r>
              <w:rPr>
                <w:rFonts w:hint="eastAsia" w:ascii="仿宋_GB2312" w:hAnsi="仿宋_GB2312" w:eastAsia="仿宋_GB2312" w:cs="仿宋_GB2312"/>
                <w:bCs/>
                <w:sz w:val="28"/>
                <w:szCs w:val="28"/>
              </w:rPr>
              <w:t>（二）进一步加强文物保护利用和重点项目申报工作。</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以人为本，做好不可移动文物的值守和保护。专门设立安全管理办公室，配备专人对辖区内的文物进行安全巡查，每天对中心城区全国文物保护单位和省级文物保护单位检查巡视，做好巡查记录。对岳阳文庙、慈氏塔、鲁肃墓三个文保单位安装了情况公示牌，公布保护范围和建控地带范围，并安排专人值守。</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2、积极投入，开展各级文物的抢救和保养。完成了岳阳文庙地基下沉的情况汇报及项目申报；完成了岳阳文庙北面围墙和大成殿北墙临时性支撑工程。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科技助力，提升文物保护的水平和力量。申报了岳阳文庙展示利用工程和岳阳文庙环境整治工程两个国家级项目；申报了文物日常维护项目、岳阳文庙地基沉降注浆加固项目、岳阳文庙环境整治项目、岳阳文庙文物建筑病害前期监测监测项目四个市级项目；完成了岳阳文庙安防监控系统升级改造工程项目初验；岳阳文庙消防系统升级改造工程项目已完工，拟对项目进行初验；鲁肃墓环境整治工程正在进行陈展及浮雕安装的收尾工程，已完成工程总量的85%。</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4、多措并举，推动非物质文化遗产的保护和传承。2021年中心共开展4次文物保护专题宣传活动。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四、存在的主要问题</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资金缺口较大。市财政未拨付单位文物保护单位日常维护保养费用，文物保护点的日常维护费用需要占用非税收入拨款。2个超编（定额补助）的工资、社保、福利及3个临聘人员的劳务费需要靠非税收入拨款来弥补。</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2、点多面广，管理难度较大。文庙、慈氏塔、鲁肃墓分布在不同地方，增加了安保、运营、管理等难度。</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五、改进措施和有关建议</w:t>
            </w:r>
          </w:p>
          <w:p>
            <w:pPr>
              <w:spacing w:line="3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建议进一步规范管理，按照文物保护单位日常维护标准给予财政拨款。</w:t>
            </w:r>
          </w:p>
          <w:p>
            <w:pPr>
              <w:spacing w:line="380" w:lineRule="exact"/>
              <w:ind w:firstLine="560" w:firstLineChars="200"/>
              <w:rPr>
                <w:rFonts w:hint="eastAsia" w:ascii="仿宋_GB2312" w:hAnsi="仿宋_GB2312" w:eastAsia="仿宋_GB2312" w:cs="仿宋_GB2312"/>
                <w:bCs/>
                <w:sz w:val="28"/>
                <w:szCs w:val="28"/>
              </w:rPr>
            </w:pPr>
          </w:p>
          <w:p>
            <w:pPr>
              <w:spacing w:line="380" w:lineRule="exact"/>
              <w:ind w:firstLine="560" w:firstLineChars="200"/>
              <w:rPr>
                <w:rFonts w:hint="eastAsia" w:ascii="仿宋_GB2312" w:hAnsi="仿宋_GB2312" w:eastAsia="仿宋_GB2312" w:cs="仿宋_GB2312"/>
                <w:bCs/>
                <w:sz w:val="28"/>
                <w:szCs w:val="28"/>
              </w:rPr>
            </w:pPr>
          </w:p>
          <w:p>
            <w:pPr>
              <w:spacing w:line="380" w:lineRule="exact"/>
              <w:ind w:firstLine="560" w:firstLineChars="200"/>
              <w:rPr>
                <w:rFonts w:hint="eastAsia" w:ascii="仿宋_GB2312" w:hAnsi="仿宋_GB2312" w:eastAsia="仿宋_GB2312" w:cs="仿宋_GB2312"/>
                <w:bCs/>
                <w:sz w:val="28"/>
                <w:szCs w:val="28"/>
              </w:rPr>
            </w:pPr>
          </w:p>
          <w:p>
            <w:pPr>
              <w:spacing w:line="500" w:lineRule="exact"/>
              <w:jc w:val="center"/>
              <w:rPr>
                <w:rFonts w:hint="eastAsia" w:ascii="方正小标宋简体" w:hAnsi="宋体" w:eastAsia="方正小标宋简体" w:cs="宋体"/>
                <w:color w:val="000000" w:themeColor="text1"/>
                <w:kern w:val="0"/>
                <w:sz w:val="44"/>
                <w:szCs w:val="44"/>
              </w:rPr>
            </w:pPr>
          </w:p>
          <w:p>
            <w:pPr>
              <w:spacing w:line="500" w:lineRule="exact"/>
              <w:jc w:val="center"/>
              <w:rPr>
                <w:rFonts w:ascii="仿宋" w:hAnsi="仿宋" w:eastAsia="仿宋" w:cs="仿宋"/>
                <w:color w:val="000000" w:themeColor="text1"/>
                <w:kern w:val="0"/>
                <w:sz w:val="32"/>
                <w:szCs w:val="32"/>
              </w:rPr>
            </w:pPr>
            <w:r>
              <w:rPr>
                <w:rFonts w:hint="eastAsia" w:ascii="方正小标宋简体" w:hAnsi="宋体" w:eastAsia="方正小标宋简体" w:cs="宋体"/>
                <w:color w:val="000000" w:themeColor="text1"/>
                <w:kern w:val="0"/>
                <w:sz w:val="44"/>
                <w:szCs w:val="44"/>
              </w:rPr>
              <w:t>部门整体支出绩效评价自评表</w:t>
            </w:r>
          </w:p>
          <w:tbl>
            <w:tblPr>
              <w:tblStyle w:val="4"/>
              <w:tblpPr w:leftFromText="180" w:rightFromText="180" w:vertAnchor="text" w:horzAnchor="page" w:tblpXSpec="center" w:tblpY="591"/>
              <w:tblOverlap w:val="never"/>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015"/>
              <w:gridCol w:w="1135"/>
              <w:gridCol w:w="4110"/>
              <w:gridCol w:w="566"/>
              <w:gridCol w:w="707"/>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501" w:type="pct"/>
                  <w:shd w:val="clear" w:color="auto" w:fill="auto"/>
                  <w:vAlign w:val="center"/>
                </w:tcPr>
                <w:p>
                  <w:pPr>
                    <w:widowControl/>
                    <w:spacing w:line="240" w:lineRule="exact"/>
                    <w:jc w:val="center"/>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一级指标</w:t>
                  </w:r>
                </w:p>
              </w:tc>
              <w:tc>
                <w:tcPr>
                  <w:tcW w:w="527" w:type="pct"/>
                  <w:shd w:val="clear" w:color="auto" w:fill="auto"/>
                  <w:vAlign w:val="center"/>
                </w:tcPr>
                <w:p>
                  <w:pPr>
                    <w:widowControl/>
                    <w:spacing w:line="240" w:lineRule="exact"/>
                    <w:jc w:val="center"/>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二级指标</w:t>
                  </w:r>
                </w:p>
              </w:tc>
              <w:tc>
                <w:tcPr>
                  <w:tcW w:w="589" w:type="pct"/>
                  <w:shd w:val="clear" w:color="auto" w:fill="auto"/>
                  <w:vAlign w:val="center"/>
                </w:tcPr>
                <w:p>
                  <w:pPr>
                    <w:widowControl/>
                    <w:spacing w:line="240" w:lineRule="exact"/>
                    <w:jc w:val="center"/>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三级指标</w:t>
                  </w:r>
                </w:p>
              </w:tc>
              <w:tc>
                <w:tcPr>
                  <w:tcW w:w="2133" w:type="pct"/>
                  <w:shd w:val="clear" w:color="auto" w:fill="auto"/>
                  <w:vAlign w:val="center"/>
                </w:tcPr>
                <w:p>
                  <w:pPr>
                    <w:widowControl/>
                    <w:spacing w:line="240" w:lineRule="exact"/>
                    <w:jc w:val="center"/>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评分标准</w:t>
                  </w:r>
                </w:p>
              </w:tc>
              <w:tc>
                <w:tcPr>
                  <w:tcW w:w="294" w:type="pct"/>
                  <w:shd w:val="clear" w:color="auto" w:fill="auto"/>
                  <w:vAlign w:val="center"/>
                </w:tcPr>
                <w:p>
                  <w:pPr>
                    <w:widowControl/>
                    <w:spacing w:line="240" w:lineRule="exact"/>
                    <w:jc w:val="center"/>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分值</w:t>
                  </w:r>
                </w:p>
              </w:tc>
              <w:tc>
                <w:tcPr>
                  <w:tcW w:w="367" w:type="pct"/>
                  <w:shd w:val="clear" w:color="auto" w:fill="FFFFFF"/>
                  <w:vAlign w:val="center"/>
                </w:tcPr>
                <w:p>
                  <w:pPr>
                    <w:widowControl/>
                    <w:spacing w:line="240" w:lineRule="exact"/>
                    <w:jc w:val="center"/>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自评得分</w:t>
                  </w:r>
                </w:p>
              </w:tc>
              <w:tc>
                <w:tcPr>
                  <w:tcW w:w="589" w:type="pct"/>
                  <w:shd w:val="clear" w:color="auto" w:fill="FFFFFF"/>
                  <w:vAlign w:val="center"/>
                </w:tcPr>
                <w:p>
                  <w:pPr>
                    <w:widowControl/>
                    <w:spacing w:line="240" w:lineRule="exact"/>
                    <w:jc w:val="left"/>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扣分原因和其他说明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01" w:type="pct"/>
                  <w:vMerge w:val="restar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投  入</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（15分）</w:t>
                  </w:r>
                </w:p>
              </w:tc>
              <w:tc>
                <w:tcPr>
                  <w:tcW w:w="527" w:type="pct"/>
                  <w:vMerge w:val="restar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预算配置</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（15分）</w:t>
                  </w: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财政供养人员控制率</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以100%为标准。在职人员控制率</w:t>
                  </w:r>
                  <w:r>
                    <w:rPr>
                      <w:rFonts w:hint="eastAsia" w:ascii="宋体" w:hAnsi="宋体" w:cs="宋体"/>
                      <w:color w:val="000000" w:themeColor="text1"/>
                      <w:kern w:val="0"/>
                      <w:sz w:val="18"/>
                      <w:szCs w:val="18"/>
                    </w:rPr>
                    <w:t>≦</w:t>
                  </w:r>
                  <w:r>
                    <w:rPr>
                      <w:rFonts w:hint="eastAsia" w:ascii="仿宋_GB2312" w:hAnsi="宋体" w:cs="宋体"/>
                      <w:color w:val="000000" w:themeColor="text1"/>
                      <w:kern w:val="0"/>
                      <w:sz w:val="18"/>
                      <w:szCs w:val="18"/>
                    </w:rPr>
                    <w:t>100%，计5分；每超过一个百分点扣0.5分，扣完为止。</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5</w:t>
                  </w:r>
                </w:p>
              </w:tc>
              <w:tc>
                <w:tcPr>
                  <w:tcW w:w="367" w:type="pct"/>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5</w:t>
                  </w:r>
                </w:p>
              </w:tc>
              <w:tc>
                <w:tcPr>
                  <w:tcW w:w="589" w:type="pct"/>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01"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“三公经费”变动率</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“三公经费”变动率</w:t>
                  </w:r>
                  <w:r>
                    <w:rPr>
                      <w:rFonts w:hint="eastAsia" w:ascii="宋体" w:hAnsi="宋体" w:cs="宋体"/>
                      <w:color w:val="000000" w:themeColor="text1"/>
                      <w:kern w:val="0"/>
                      <w:sz w:val="18"/>
                      <w:szCs w:val="18"/>
                    </w:rPr>
                    <w:t>≦</w:t>
                  </w:r>
                  <w:r>
                    <w:rPr>
                      <w:rFonts w:hint="eastAsia" w:ascii="仿宋_GB2312" w:hAnsi="宋体" w:cs="宋体"/>
                      <w:color w:val="000000" w:themeColor="text1"/>
                      <w:kern w:val="0"/>
                      <w:sz w:val="18"/>
                      <w:szCs w:val="18"/>
                    </w:rPr>
                    <w:t>0,计5分；</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“三公经费”＞0，每超过一个百分点扣0.5分，扣完为止。</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5</w:t>
                  </w:r>
                </w:p>
              </w:tc>
              <w:tc>
                <w:tcPr>
                  <w:tcW w:w="367" w:type="pct"/>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5</w:t>
                  </w:r>
                </w:p>
              </w:tc>
              <w:tc>
                <w:tcPr>
                  <w:tcW w:w="589" w:type="pct"/>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01"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重点支出</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安排率</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重点支出安排率≥90%，计5分；80%（含）-90%，计4分；70%（含）-80%，计3分；60%（含）-70%，计2分；低于60%不得分。</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5</w:t>
                  </w:r>
                </w:p>
              </w:tc>
              <w:tc>
                <w:tcPr>
                  <w:tcW w:w="367" w:type="pct"/>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5</w:t>
                  </w:r>
                </w:p>
              </w:tc>
              <w:tc>
                <w:tcPr>
                  <w:tcW w:w="589" w:type="pct"/>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01" w:type="pct"/>
                  <w:vMerge w:val="restar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过  程</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（40分）</w:t>
                  </w:r>
                </w:p>
              </w:tc>
              <w:tc>
                <w:tcPr>
                  <w:tcW w:w="527" w:type="pct"/>
                  <w:vMerge w:val="restar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预算执行</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（15分）</w:t>
                  </w: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预算调整率</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预算调整率=0，计3分；0-10%（含），计2分；10-20%（含），计1分；20-30%（含），计0.5分；大于30%不得分。</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　</w:t>
                  </w: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01"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支付进度</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春节前下达全部专项资金的50%；6月底前所有专项资金指标全部下达完。</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每出现一个专项未按进度完成资金下达扣0.5分，扣完为止。</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3</w:t>
                  </w: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01"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资金结余</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无结余，3分；有结余，但不超过上年结转，2分；结余超过上年结转，不得分。</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3</w:t>
                  </w:r>
                </w:p>
              </w:tc>
              <w:tc>
                <w:tcPr>
                  <w:tcW w:w="589" w:type="pct"/>
                  <w:vAlign w:val="center"/>
                </w:tcPr>
                <w:p>
                  <w:pPr>
                    <w:widowControl/>
                    <w:spacing w:line="240" w:lineRule="exact"/>
                    <w:jc w:val="left"/>
                    <w:rPr>
                      <w:rFonts w:ascii="仿宋_GB2312"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01"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“三公经费”</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控制率</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以100%为标准。三公经费控制率</w:t>
                  </w:r>
                  <w:r>
                    <w:rPr>
                      <w:rFonts w:hint="eastAsia" w:ascii="宋体" w:hAnsi="宋体" w:cs="宋体"/>
                      <w:color w:val="000000" w:themeColor="text1"/>
                      <w:kern w:val="0"/>
                      <w:sz w:val="18"/>
                      <w:szCs w:val="18"/>
                    </w:rPr>
                    <w:t>≦</w:t>
                  </w:r>
                  <w:r>
                    <w:rPr>
                      <w:rFonts w:hint="eastAsia" w:ascii="仿宋_GB2312" w:hAnsi="宋体" w:cs="宋体"/>
                      <w:color w:val="000000" w:themeColor="text1"/>
                      <w:kern w:val="0"/>
                      <w:sz w:val="18"/>
                      <w:szCs w:val="18"/>
                    </w:rPr>
                    <w:t>100%，计6分；</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每超过一个百分点扣1分，扣完为止</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6</w:t>
                  </w:r>
                </w:p>
              </w:tc>
              <w:tc>
                <w:tcPr>
                  <w:tcW w:w="367"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6</w:t>
                  </w: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01"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管理制度</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健全性</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①已制定或具有预算资金管理办法，内部财务管理制度、会计核算制度等管理制度，1分；</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②相关管理制度合法、合规、完整，1分；</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③相关管理制度得到有效执行，1分。</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　</w:t>
                  </w: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501"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资金使用</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合规性</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①支出符合国家财经法规和财务管理制度规定以及有关专项资金管理办法的规定；</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②资金拨付有完整的审批程序和手续；</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③项目支出按规定经过评估论证；</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④支出符合部门预算批复的用途；</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⑤资金使用无截留、挤占、挪用、虚列支出等情况。</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以上情况每出现一例不符合要求的扣1分，扣完为止。</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　</w:t>
                  </w: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501"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预决算信息公开性和完善性</w:t>
                  </w:r>
                </w:p>
              </w:tc>
              <w:tc>
                <w:tcPr>
                  <w:tcW w:w="2133" w:type="pct"/>
                  <w:shd w:val="clear" w:color="auto" w:fill="auto"/>
                  <w:vAlign w:val="center"/>
                </w:tcPr>
                <w:p>
                  <w:pPr>
                    <w:widowControl/>
                    <w:spacing w:line="22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①按规定内容公开预决算信息，1分；</w:t>
                  </w:r>
                </w:p>
                <w:p>
                  <w:pPr>
                    <w:widowControl/>
                    <w:spacing w:line="22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②按规定时限公开预决算信息，0.5分；</w:t>
                  </w:r>
                </w:p>
                <w:p>
                  <w:pPr>
                    <w:widowControl/>
                    <w:spacing w:line="22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③基础数据信息和会计信息资料真实，0.5分；</w:t>
                  </w:r>
                </w:p>
                <w:p>
                  <w:pPr>
                    <w:widowControl/>
                    <w:spacing w:line="22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④基础数据信息和会计信息资料完整，0.5分；</w:t>
                  </w:r>
                </w:p>
                <w:p>
                  <w:pPr>
                    <w:widowControl/>
                    <w:spacing w:line="22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xml:space="preserve">⑤基础数据信息和汇集信息资料准确，0.5分。                                            </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3</w:t>
                  </w:r>
                </w:p>
              </w:tc>
              <w:tc>
                <w:tcPr>
                  <w:tcW w:w="589"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01"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过  程</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（40分）</w:t>
                  </w:r>
                </w:p>
              </w:tc>
              <w:tc>
                <w:tcPr>
                  <w:tcW w:w="527"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预算管理</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（15分）</w:t>
                  </w: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政府采购执行率</w:t>
                  </w:r>
                </w:p>
              </w:tc>
              <w:tc>
                <w:tcPr>
                  <w:tcW w:w="2133" w:type="pct"/>
                  <w:shd w:val="clear" w:color="auto" w:fill="auto"/>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政府采购执行率等于100%的，得3分；</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每减少一个百分点，扣0.2分，扣完为止。</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3</w:t>
                  </w:r>
                </w:p>
              </w:tc>
              <w:tc>
                <w:tcPr>
                  <w:tcW w:w="589"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1"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公务卡刷卡率</w:t>
                  </w:r>
                </w:p>
              </w:tc>
              <w:tc>
                <w:tcPr>
                  <w:tcW w:w="2133" w:type="pct"/>
                  <w:shd w:val="clear" w:color="auto" w:fill="auto"/>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公务卡刷卡率达30％以上的，得3分。</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xml:space="preserve">每减少一个百分点，扣0.2分，扣完为止。                                            </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　</w:t>
                  </w:r>
                </w:p>
              </w:tc>
              <w:tc>
                <w:tcPr>
                  <w:tcW w:w="589"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01"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资产管理</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（10分）</w:t>
                  </w: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管理制度</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健全性</w:t>
                  </w:r>
                </w:p>
              </w:tc>
              <w:tc>
                <w:tcPr>
                  <w:tcW w:w="2133" w:type="pct"/>
                  <w:shd w:val="clear" w:color="auto" w:fill="auto"/>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①已制定或具有资产管理制度，且相关资产管理制度合法、合规、完整，2分；</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xml:space="preserve">②相关资产管理制度得到有效执行，1分。                                           </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3</w:t>
                  </w:r>
                </w:p>
              </w:tc>
              <w:tc>
                <w:tcPr>
                  <w:tcW w:w="589"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501"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资产管理</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安全性</w:t>
                  </w:r>
                </w:p>
              </w:tc>
              <w:tc>
                <w:tcPr>
                  <w:tcW w:w="2133" w:type="pct"/>
                  <w:shd w:val="clear" w:color="auto" w:fill="auto"/>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①资产保存完整；</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②资产配置合理；</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xml:space="preserve">③资产处置规范； </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④资产账务管理合规，帐实相符；</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⑤资产有偿使用及处置收入及时足额上缴；</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以上情况每出现一例不符合有关要求的扣1分，扣完为止。</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　</w:t>
                  </w:r>
                </w:p>
              </w:tc>
              <w:tc>
                <w:tcPr>
                  <w:tcW w:w="589"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01"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固定资产</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利用率</w:t>
                  </w:r>
                </w:p>
              </w:tc>
              <w:tc>
                <w:tcPr>
                  <w:tcW w:w="2133" w:type="pct"/>
                  <w:shd w:val="clear" w:color="auto" w:fill="auto"/>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每低于100%一个百分点扣0.1分，扣完为止。</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　</w:t>
                  </w:r>
                </w:p>
              </w:tc>
              <w:tc>
                <w:tcPr>
                  <w:tcW w:w="589"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1"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产  出（25分）</w:t>
                  </w:r>
                </w:p>
              </w:tc>
              <w:tc>
                <w:tcPr>
                  <w:tcW w:w="527"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职责履行</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（25分）</w:t>
                  </w:r>
                </w:p>
              </w:tc>
              <w:tc>
                <w:tcPr>
                  <w:tcW w:w="589"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质量指标</w:t>
                  </w:r>
                </w:p>
              </w:tc>
              <w:tc>
                <w:tcPr>
                  <w:tcW w:w="2133" w:type="pct"/>
                  <w:shd w:val="clear" w:color="auto" w:fill="auto"/>
                  <w:vAlign w:val="center"/>
                </w:tcPr>
                <w:p>
                  <w:pPr>
                    <w:autoSpaceDN w:val="0"/>
                    <w:spacing w:line="320" w:lineRule="exact"/>
                    <w:jc w:val="left"/>
                    <w:textAlignment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市级以上文保单位完好率≥</w:t>
                  </w:r>
                  <w:r>
                    <w:rPr>
                      <w:rFonts w:ascii="仿宋_GB2312" w:hAnsi="宋体" w:cs="宋体"/>
                      <w:color w:val="000000" w:themeColor="text1"/>
                      <w:kern w:val="0"/>
                      <w:sz w:val="18"/>
                      <w:szCs w:val="18"/>
                    </w:rPr>
                    <w:t>80%</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367" w:type="pct"/>
                  <w:shd w:val="clear" w:color="auto" w:fill="FFFFFF"/>
                  <w:vAlign w:val="center"/>
                </w:tcPr>
                <w:p>
                  <w:pPr>
                    <w:widowControl/>
                    <w:spacing w:line="240" w:lineRule="exact"/>
                    <w:ind w:firstLine="180" w:firstLineChars="100"/>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589" w:type="pct"/>
                  <w:vMerge w:val="restar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1"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89"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2133" w:type="pct"/>
                  <w:shd w:val="clear" w:color="auto" w:fill="auto"/>
                  <w:vAlign w:val="center"/>
                </w:tcPr>
                <w:p>
                  <w:pPr>
                    <w:autoSpaceDN w:val="0"/>
                    <w:spacing w:line="320" w:lineRule="exact"/>
                    <w:jc w:val="left"/>
                    <w:textAlignment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文物维修合格率100%</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5</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5</w:t>
                  </w:r>
                </w:p>
              </w:tc>
              <w:tc>
                <w:tcPr>
                  <w:tcW w:w="589" w:type="pct"/>
                  <w:vMerge w:val="continue"/>
                  <w:shd w:val="clear" w:color="auto" w:fill="FFFFFF"/>
                  <w:vAlign w:val="center"/>
                </w:tcPr>
                <w:p>
                  <w:pPr>
                    <w:widowControl/>
                    <w:spacing w:line="240" w:lineRule="exact"/>
                    <w:jc w:val="center"/>
                    <w:rPr>
                      <w:rFonts w:ascii="仿宋_GB2312"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1"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89"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数量指标</w:t>
                  </w:r>
                </w:p>
              </w:tc>
              <w:tc>
                <w:tcPr>
                  <w:tcW w:w="2133" w:type="pct"/>
                  <w:shd w:val="clear" w:color="auto" w:fill="auto"/>
                  <w:vAlign w:val="center"/>
                </w:tcPr>
                <w:p>
                  <w:pPr>
                    <w:autoSpaceDN w:val="0"/>
                    <w:spacing w:line="320" w:lineRule="exact"/>
                    <w:jc w:val="left"/>
                    <w:textAlignment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完成文物保护专题宣传活动4场</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589" w:type="pct"/>
                  <w:vMerge w:val="continue"/>
                  <w:shd w:val="clear" w:color="auto" w:fill="FFFFFF"/>
                  <w:vAlign w:val="center"/>
                </w:tcPr>
                <w:p>
                  <w:pPr>
                    <w:widowControl/>
                    <w:spacing w:line="240" w:lineRule="exact"/>
                    <w:jc w:val="center"/>
                    <w:rPr>
                      <w:rFonts w:ascii="仿宋_GB2312"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01"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89"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2133" w:type="pct"/>
                  <w:shd w:val="clear" w:color="auto" w:fill="auto"/>
                  <w:vAlign w:val="center"/>
                </w:tcPr>
                <w:p>
                  <w:pPr>
                    <w:autoSpaceDN w:val="0"/>
                    <w:spacing w:line="320" w:lineRule="exact"/>
                    <w:jc w:val="left"/>
                    <w:textAlignment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每天完成文物保护单位检查巡视</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589" w:type="pct"/>
                  <w:vMerge w:val="continue"/>
                  <w:shd w:val="clear" w:color="auto" w:fill="FFFFFF"/>
                  <w:vAlign w:val="center"/>
                </w:tcPr>
                <w:p>
                  <w:pPr>
                    <w:widowControl/>
                    <w:spacing w:line="240" w:lineRule="exact"/>
                    <w:jc w:val="center"/>
                    <w:rPr>
                      <w:rFonts w:ascii="仿宋_GB2312"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01"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时效指标</w:t>
                  </w:r>
                </w:p>
              </w:tc>
              <w:tc>
                <w:tcPr>
                  <w:tcW w:w="2133" w:type="pct"/>
                  <w:shd w:val="clear" w:color="auto" w:fill="auto"/>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目标任务完成及时率100%</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589" w:type="pct"/>
                  <w:vMerge w:val="continue"/>
                  <w:shd w:val="clear" w:color="auto" w:fill="FFFFFF"/>
                  <w:vAlign w:val="center"/>
                </w:tcPr>
                <w:p>
                  <w:pPr>
                    <w:widowControl/>
                    <w:spacing w:line="240" w:lineRule="exact"/>
                    <w:jc w:val="center"/>
                    <w:rPr>
                      <w:rFonts w:ascii="仿宋_GB2312"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01"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成本指标</w:t>
                  </w:r>
                </w:p>
              </w:tc>
              <w:tc>
                <w:tcPr>
                  <w:tcW w:w="2133" w:type="pct"/>
                  <w:shd w:val="clear" w:color="auto" w:fill="auto"/>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预算成本控制≤</w:t>
                  </w:r>
                  <w:r>
                    <w:rPr>
                      <w:rFonts w:ascii="仿宋_GB2312" w:hAnsi="宋体" w:cs="宋体"/>
                      <w:color w:val="000000" w:themeColor="text1"/>
                      <w:kern w:val="0"/>
                      <w:sz w:val="18"/>
                      <w:szCs w:val="18"/>
                    </w:rPr>
                    <w:t>127.29</w:t>
                  </w:r>
                  <w:r>
                    <w:rPr>
                      <w:rFonts w:hint="eastAsia" w:ascii="仿宋_GB2312" w:hAnsi="宋体" w:cs="宋体"/>
                      <w:color w:val="000000" w:themeColor="text1"/>
                      <w:kern w:val="0"/>
                      <w:sz w:val="18"/>
                      <w:szCs w:val="18"/>
                    </w:rPr>
                    <w:t>万</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589" w:type="pct"/>
                  <w:vMerge w:val="continue"/>
                  <w:shd w:val="clear" w:color="auto" w:fill="FFFFFF"/>
                  <w:vAlign w:val="center"/>
                </w:tcPr>
                <w:p>
                  <w:pPr>
                    <w:widowControl/>
                    <w:spacing w:line="240" w:lineRule="exact"/>
                    <w:jc w:val="center"/>
                    <w:rPr>
                      <w:rFonts w:ascii="仿宋_GB2312"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01"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效  果</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（20分）</w:t>
                  </w:r>
                </w:p>
              </w:tc>
              <w:tc>
                <w:tcPr>
                  <w:tcW w:w="527"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履职效益</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（20分）</w:t>
                  </w: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社会效益</w:t>
                  </w:r>
                </w:p>
              </w:tc>
              <w:tc>
                <w:tcPr>
                  <w:tcW w:w="2133" w:type="pct"/>
                  <w:shd w:val="clear" w:color="auto" w:fill="auto"/>
                  <w:vAlign w:val="center"/>
                </w:tcPr>
                <w:p>
                  <w:pPr>
                    <w:widowControl/>
                    <w:spacing w:line="240" w:lineRule="exact"/>
                    <w:ind w:firstLine="90" w:firstLineChars="50"/>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切实强化文物保护效果</w:t>
                  </w:r>
                </w:p>
              </w:tc>
              <w:tc>
                <w:tcPr>
                  <w:tcW w:w="294" w:type="pct"/>
                  <w:shd w:val="clear" w:color="auto" w:fill="auto"/>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10</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10　</w:t>
                  </w:r>
                </w:p>
              </w:tc>
              <w:tc>
                <w:tcPr>
                  <w:tcW w:w="589"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01"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89" w:type="pct"/>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社会公众或服务对象满意度</w:t>
                  </w:r>
                </w:p>
              </w:tc>
              <w:tc>
                <w:tcPr>
                  <w:tcW w:w="2133" w:type="pct"/>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95%（含）以上计8分；</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85%（含）-95%，计3分；</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75%（含）-85%，计1分；</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低于75%计0分。</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10</w:t>
                  </w:r>
                </w:p>
              </w:tc>
              <w:tc>
                <w:tcPr>
                  <w:tcW w:w="367" w:type="pct"/>
                  <w:vAlign w:val="center"/>
                </w:tcPr>
                <w:p>
                  <w:pPr>
                    <w:widowControl/>
                    <w:spacing w:line="240" w:lineRule="exact"/>
                    <w:jc w:val="center"/>
                    <w:rPr>
                      <w:rFonts w:hint="default" w:ascii="黑体" w:hAnsi="黑体" w:eastAsia="黑体" w:cs="宋体"/>
                      <w:color w:val="000000" w:themeColor="text1"/>
                      <w:kern w:val="0"/>
                      <w:sz w:val="18"/>
                      <w:szCs w:val="18"/>
                      <w:lang w:val="en-US" w:eastAsia="zh-CN"/>
                    </w:rPr>
                  </w:pPr>
                  <w:r>
                    <w:rPr>
                      <w:rFonts w:hint="eastAsia" w:ascii="黑体" w:hAnsi="黑体" w:eastAsia="黑体" w:cs="宋体"/>
                      <w:color w:val="000000" w:themeColor="text1"/>
                      <w:kern w:val="0"/>
                      <w:sz w:val="18"/>
                      <w:szCs w:val="18"/>
                      <w:lang w:val="en-US" w:eastAsia="zh-CN"/>
                    </w:rPr>
                    <w:t>10</w:t>
                  </w:r>
                </w:p>
              </w:tc>
              <w:tc>
                <w:tcPr>
                  <w:tcW w:w="589" w:type="pct"/>
                  <w:vAlign w:val="center"/>
                </w:tcPr>
                <w:p>
                  <w:pPr>
                    <w:widowControl/>
                    <w:spacing w:line="240" w:lineRule="exact"/>
                    <w:jc w:val="center"/>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1" w:type="pct"/>
                  <w:vAlign w:val="center"/>
                </w:tcPr>
                <w:p>
                  <w:pPr>
                    <w:widowControl/>
                    <w:spacing w:line="240" w:lineRule="exact"/>
                    <w:jc w:val="center"/>
                    <w:rPr>
                      <w:rFonts w:ascii="黑体" w:hAnsi="黑体" w:eastAsia="黑体" w:cs="宋体"/>
                      <w:b/>
                      <w:bCs/>
                      <w:color w:val="000000" w:themeColor="text1"/>
                      <w:kern w:val="0"/>
                      <w:sz w:val="18"/>
                      <w:szCs w:val="18"/>
                    </w:rPr>
                  </w:pPr>
                  <w:r>
                    <w:rPr>
                      <w:rFonts w:hint="eastAsia" w:ascii="黑体" w:hAnsi="黑体" w:eastAsia="黑体" w:cs="宋体"/>
                      <w:b/>
                      <w:bCs/>
                      <w:color w:val="000000" w:themeColor="text1"/>
                      <w:kern w:val="0"/>
                      <w:sz w:val="18"/>
                      <w:szCs w:val="18"/>
                    </w:rPr>
                    <w:t>总 分</w:t>
                  </w:r>
                </w:p>
              </w:tc>
              <w:tc>
                <w:tcPr>
                  <w:tcW w:w="527" w:type="pct"/>
                  <w:vAlign w:val="center"/>
                </w:tcPr>
                <w:p>
                  <w:pPr>
                    <w:widowControl/>
                    <w:spacing w:line="240" w:lineRule="exact"/>
                    <w:jc w:val="center"/>
                    <w:rPr>
                      <w:rFonts w:ascii="黑体" w:hAnsi="黑体" w:eastAsia="黑体" w:cs="宋体"/>
                      <w:b/>
                      <w:bCs/>
                      <w:color w:val="000000" w:themeColor="text1"/>
                      <w:kern w:val="0"/>
                      <w:sz w:val="18"/>
                      <w:szCs w:val="18"/>
                    </w:rPr>
                  </w:pPr>
                  <w:r>
                    <w:rPr>
                      <w:rFonts w:hint="eastAsia" w:ascii="黑体" w:hAnsi="黑体" w:eastAsia="黑体" w:cs="宋体"/>
                      <w:b/>
                      <w:bCs/>
                      <w:color w:val="000000" w:themeColor="text1"/>
                      <w:kern w:val="0"/>
                      <w:sz w:val="18"/>
                      <w:szCs w:val="18"/>
                    </w:rPr>
                    <w:t>　</w:t>
                  </w:r>
                </w:p>
              </w:tc>
              <w:tc>
                <w:tcPr>
                  <w:tcW w:w="589" w:type="pct"/>
                  <w:vAlign w:val="center"/>
                </w:tcPr>
                <w:p>
                  <w:pPr>
                    <w:widowControl/>
                    <w:spacing w:line="240" w:lineRule="exact"/>
                    <w:jc w:val="center"/>
                    <w:rPr>
                      <w:rFonts w:ascii="黑体" w:hAnsi="黑体" w:eastAsia="黑体" w:cs="宋体"/>
                      <w:b/>
                      <w:bCs/>
                      <w:color w:val="000000" w:themeColor="text1"/>
                      <w:kern w:val="0"/>
                      <w:sz w:val="18"/>
                      <w:szCs w:val="18"/>
                    </w:rPr>
                  </w:pPr>
                  <w:r>
                    <w:rPr>
                      <w:rFonts w:hint="eastAsia" w:ascii="黑体" w:hAnsi="黑体" w:eastAsia="黑体" w:cs="宋体"/>
                      <w:b/>
                      <w:bCs/>
                      <w:color w:val="000000" w:themeColor="text1"/>
                      <w:kern w:val="0"/>
                      <w:sz w:val="18"/>
                      <w:szCs w:val="18"/>
                    </w:rPr>
                    <w:t>　</w:t>
                  </w:r>
                </w:p>
              </w:tc>
              <w:tc>
                <w:tcPr>
                  <w:tcW w:w="2133" w:type="pct"/>
                  <w:vAlign w:val="center"/>
                </w:tcPr>
                <w:p>
                  <w:pPr>
                    <w:widowControl/>
                    <w:spacing w:line="240" w:lineRule="exact"/>
                    <w:jc w:val="center"/>
                    <w:rPr>
                      <w:rFonts w:ascii="黑体" w:hAnsi="黑体" w:eastAsia="黑体" w:cs="宋体"/>
                      <w:b/>
                      <w:bCs/>
                      <w:color w:val="000000" w:themeColor="text1"/>
                      <w:kern w:val="0"/>
                      <w:sz w:val="18"/>
                      <w:szCs w:val="18"/>
                    </w:rPr>
                  </w:pPr>
                  <w:r>
                    <w:rPr>
                      <w:rFonts w:hint="eastAsia" w:ascii="黑体" w:hAnsi="黑体" w:eastAsia="黑体" w:cs="宋体"/>
                      <w:b/>
                      <w:bCs/>
                      <w:color w:val="000000" w:themeColor="text1"/>
                      <w:kern w:val="0"/>
                      <w:sz w:val="18"/>
                      <w:szCs w:val="18"/>
                    </w:rPr>
                    <w:t>　</w:t>
                  </w:r>
                </w:p>
              </w:tc>
              <w:tc>
                <w:tcPr>
                  <w:tcW w:w="294" w:type="pct"/>
                  <w:vAlign w:val="center"/>
                </w:tcPr>
                <w:p>
                  <w:pPr>
                    <w:widowControl/>
                    <w:spacing w:line="240" w:lineRule="exact"/>
                    <w:jc w:val="center"/>
                    <w:rPr>
                      <w:rFonts w:ascii="黑体" w:hAnsi="黑体" w:eastAsia="黑体" w:cs="宋体"/>
                      <w:b/>
                      <w:bCs/>
                      <w:color w:val="000000" w:themeColor="text1"/>
                      <w:kern w:val="0"/>
                      <w:sz w:val="18"/>
                      <w:szCs w:val="18"/>
                    </w:rPr>
                  </w:pPr>
                  <w:r>
                    <w:rPr>
                      <w:rFonts w:hint="eastAsia" w:ascii="黑体" w:hAnsi="黑体" w:eastAsia="黑体" w:cs="宋体"/>
                      <w:b/>
                      <w:bCs/>
                      <w:color w:val="000000" w:themeColor="text1"/>
                      <w:kern w:val="0"/>
                      <w:sz w:val="18"/>
                      <w:szCs w:val="18"/>
                    </w:rPr>
                    <w:t>100</w:t>
                  </w:r>
                </w:p>
              </w:tc>
              <w:tc>
                <w:tcPr>
                  <w:tcW w:w="367" w:type="pct"/>
                  <w:vAlign w:val="center"/>
                </w:tcPr>
                <w:p>
                  <w:pPr>
                    <w:widowControl/>
                    <w:spacing w:line="240" w:lineRule="exact"/>
                    <w:jc w:val="center"/>
                    <w:rPr>
                      <w:rFonts w:ascii="黑体" w:hAnsi="黑体" w:eastAsia="黑体" w:cs="宋体"/>
                      <w:b/>
                      <w:bCs/>
                      <w:color w:val="000000" w:themeColor="text1"/>
                      <w:kern w:val="0"/>
                      <w:sz w:val="18"/>
                      <w:szCs w:val="18"/>
                    </w:rPr>
                  </w:pPr>
                  <w:r>
                    <w:rPr>
                      <w:rFonts w:hint="eastAsia" w:ascii="黑体" w:hAnsi="黑体" w:eastAsia="黑体" w:cs="宋体"/>
                      <w:b/>
                      <w:bCs/>
                      <w:color w:val="000000" w:themeColor="text1"/>
                      <w:kern w:val="0"/>
                      <w:sz w:val="18"/>
                      <w:szCs w:val="18"/>
                    </w:rPr>
                    <w:t>100　</w:t>
                  </w:r>
                </w:p>
              </w:tc>
              <w:tc>
                <w:tcPr>
                  <w:tcW w:w="589" w:type="pct"/>
                  <w:vAlign w:val="center"/>
                </w:tcPr>
                <w:p>
                  <w:pPr>
                    <w:widowControl/>
                    <w:spacing w:line="240" w:lineRule="exact"/>
                    <w:jc w:val="center"/>
                    <w:rPr>
                      <w:rFonts w:ascii="黑体" w:hAnsi="黑体" w:eastAsia="黑体" w:cs="宋体"/>
                      <w:b/>
                      <w:bCs/>
                      <w:color w:val="000000" w:themeColor="text1"/>
                      <w:kern w:val="0"/>
                      <w:sz w:val="18"/>
                      <w:szCs w:val="18"/>
                    </w:rPr>
                  </w:pPr>
                  <w:r>
                    <w:rPr>
                      <w:rFonts w:hint="eastAsia" w:ascii="黑体" w:hAnsi="黑体" w:eastAsia="黑体" w:cs="宋体"/>
                      <w:b/>
                      <w:bCs/>
                      <w:color w:val="000000" w:themeColor="text1"/>
                      <w:kern w:val="0"/>
                      <w:sz w:val="18"/>
                      <w:szCs w:val="18"/>
                    </w:rPr>
                    <w:t>　</w:t>
                  </w:r>
                </w:p>
              </w:tc>
            </w:tr>
          </w:tbl>
          <w:p>
            <w:pPr>
              <w:spacing w:line="380" w:lineRule="exact"/>
              <w:ind w:firstLine="560" w:firstLineChars="200"/>
              <w:rPr>
                <w:rFonts w:hint="eastAsia" w:ascii="仿宋_GB2312" w:hAnsi="仿宋_GB2312" w:eastAsia="仿宋_GB2312" w:cs="仿宋_GB2312"/>
                <w:bCs/>
                <w:sz w:val="28"/>
                <w:szCs w:val="28"/>
              </w:rPr>
            </w:pPr>
            <w:bookmarkStart w:id="0" w:name="_GoBack"/>
            <w:bookmarkEnd w:id="0"/>
          </w:p>
          <w:p>
            <w:pPr>
              <w:spacing w:line="380" w:lineRule="exact"/>
              <w:ind w:firstLine="560" w:firstLineChars="200"/>
              <w:rPr>
                <w:rFonts w:hint="eastAsia" w:ascii="仿宋_GB2312" w:hAnsi="仿宋_GB2312" w:eastAsia="仿宋_GB2312" w:cs="仿宋_GB2312"/>
                <w:bCs/>
                <w:sz w:val="28"/>
                <w:szCs w:val="28"/>
              </w:rPr>
            </w:pPr>
          </w:p>
          <w:p>
            <w:pPr>
              <w:spacing w:line="380" w:lineRule="exact"/>
              <w:ind w:firstLine="560" w:firstLineChars="200"/>
              <w:rPr>
                <w:rFonts w:hint="eastAsia" w:ascii="仿宋_GB2312" w:hAnsi="仿宋_GB2312" w:eastAsia="仿宋_GB2312" w:cs="仿宋_GB2312"/>
                <w:bCs/>
                <w:sz w:val="28"/>
                <w:szCs w:val="28"/>
              </w:rPr>
            </w:pPr>
          </w:p>
          <w:p>
            <w:pPr>
              <w:spacing w:line="380" w:lineRule="exact"/>
              <w:ind w:firstLine="560" w:firstLineChars="200"/>
              <w:rPr>
                <w:rFonts w:eastAsia="楷体_GB2312"/>
                <w:bCs/>
                <w:sz w:val="28"/>
                <w:szCs w:val="28"/>
              </w:rPr>
            </w:pPr>
          </w:p>
        </w:tc>
      </w:tr>
    </w:tbl>
    <w:p/>
    <w:sectPr>
      <w:pgSz w:w="11906" w:h="16838"/>
      <w:pgMar w:top="1440" w:right="1021" w:bottom="1440"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sz w:val="24"/>
        <w:szCs w:val="24"/>
      </w:rPr>
      <w:t xml:space="preserve">— </w:t>
    </w: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10</w:t>
    </w:r>
    <w:r>
      <w:rPr>
        <w:rStyle w:val="6"/>
        <w:sz w:val="24"/>
        <w:szCs w:val="24"/>
      </w:rPr>
      <w:fldChar w:fldCharType="end"/>
    </w:r>
    <w:r>
      <w:rPr>
        <w:rStyle w:val="6"/>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cwOTRmZWU3Y2FkYjI2MGFhOTkwZWNjYjA1NWU2YTcifQ=="/>
  </w:docVars>
  <w:rsids>
    <w:rsidRoot w:val="74B60897"/>
    <w:rsid w:val="000440D1"/>
    <w:rsid w:val="00082E12"/>
    <w:rsid w:val="000F629C"/>
    <w:rsid w:val="00217377"/>
    <w:rsid w:val="0023697F"/>
    <w:rsid w:val="00237E7A"/>
    <w:rsid w:val="002A35B7"/>
    <w:rsid w:val="002E4558"/>
    <w:rsid w:val="00317266"/>
    <w:rsid w:val="0038343E"/>
    <w:rsid w:val="00385DC0"/>
    <w:rsid w:val="00391410"/>
    <w:rsid w:val="003E0D23"/>
    <w:rsid w:val="004607D3"/>
    <w:rsid w:val="004C3D10"/>
    <w:rsid w:val="004D0369"/>
    <w:rsid w:val="00531617"/>
    <w:rsid w:val="005318B3"/>
    <w:rsid w:val="005E0DEF"/>
    <w:rsid w:val="005E20FE"/>
    <w:rsid w:val="006639B4"/>
    <w:rsid w:val="006A69C8"/>
    <w:rsid w:val="006B2A07"/>
    <w:rsid w:val="007160B5"/>
    <w:rsid w:val="00772576"/>
    <w:rsid w:val="00832886"/>
    <w:rsid w:val="0083409F"/>
    <w:rsid w:val="008614C4"/>
    <w:rsid w:val="00884C53"/>
    <w:rsid w:val="008919A7"/>
    <w:rsid w:val="00911289"/>
    <w:rsid w:val="00943CFE"/>
    <w:rsid w:val="009446BF"/>
    <w:rsid w:val="00963FD0"/>
    <w:rsid w:val="009E5D49"/>
    <w:rsid w:val="00A54545"/>
    <w:rsid w:val="00AB67D3"/>
    <w:rsid w:val="00B22592"/>
    <w:rsid w:val="00B32786"/>
    <w:rsid w:val="00B974E6"/>
    <w:rsid w:val="00C2126F"/>
    <w:rsid w:val="00C6632E"/>
    <w:rsid w:val="00C86D8C"/>
    <w:rsid w:val="00CA59D1"/>
    <w:rsid w:val="00CB2C4E"/>
    <w:rsid w:val="00D30D59"/>
    <w:rsid w:val="00D410EB"/>
    <w:rsid w:val="00DE4C94"/>
    <w:rsid w:val="00ED4952"/>
    <w:rsid w:val="00ED5D17"/>
    <w:rsid w:val="00F30B7F"/>
    <w:rsid w:val="00FB044C"/>
    <w:rsid w:val="00FF2509"/>
    <w:rsid w:val="0F220B3C"/>
    <w:rsid w:val="18B54EA4"/>
    <w:rsid w:val="502E6EB4"/>
    <w:rsid w:val="74B60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4552</Words>
  <Characters>4879</Characters>
  <Lines>40</Lines>
  <Paragraphs>11</Paragraphs>
  <TotalTime>125</TotalTime>
  <ScaleCrop>false</ScaleCrop>
  <LinksUpToDate>false</LinksUpToDate>
  <CharactersWithSpaces>5089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2022-06-14T04:26:00Z</dcterms:created>
  <dc:creator>Moonn~</dc:creator>
  <cp:lastModifiedBy>Administrator</cp:lastModifiedBy>
  <dcterms:modified xsi:type="dcterms:W3CDTF">2022-06-23T04:08:52Z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DD6E73F0CAC24C88A42B4EE87BA0A1E9</vt:lpwstr>
  </property>
</Properties>
</file>