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rPr>
        <w:t>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hint="eastAsia" w:eastAsia="仿宋_GB2312"/>
          <w:sz w:val="32"/>
          <w:szCs w:val="32"/>
          <w:u w:val="single"/>
        </w:rPr>
        <w:t xml:space="preserve">岳阳市文化旅游广电局 </w:t>
      </w:r>
    </w:p>
    <w:p>
      <w:pPr>
        <w:spacing w:beforeLines="50" w:line="348" w:lineRule="auto"/>
        <w:ind w:firstLine="476" w:firstLineChars="150"/>
        <w:rPr>
          <w:rFonts w:eastAsia="仿宋_GB2312"/>
          <w:spacing w:val="20"/>
          <w:sz w:val="32"/>
          <w:szCs w:val="32"/>
        </w:rPr>
      </w:pPr>
      <w:r>
        <w:rPr>
          <w:rFonts w:hint="eastAsia" w:eastAsia="仿宋_GB2312"/>
          <w:sz w:val="32"/>
          <w:szCs w:val="32"/>
        </w:rPr>
        <w:t xml:space="preserve">预  </w:t>
      </w:r>
      <w:r>
        <w:rPr>
          <w:rFonts w:hint="eastAsia" w:eastAsia="仿宋_GB2312"/>
          <w:spacing w:val="30"/>
          <w:sz w:val="32"/>
          <w:szCs w:val="32"/>
        </w:rPr>
        <w:t>算 编 码：</w:t>
      </w:r>
      <w:r>
        <w:rPr>
          <w:rFonts w:hint="eastAsia" w:eastAsia="仿宋_GB2312"/>
          <w:spacing w:val="20"/>
          <w:sz w:val="32"/>
          <w:szCs w:val="32"/>
          <w:u w:val="single"/>
        </w:rPr>
        <w:t xml:space="preserve">501001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报告日期：2022年6月15日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196"/>
        <w:gridCol w:w="811"/>
        <w:gridCol w:w="1134"/>
        <w:gridCol w:w="567"/>
        <w:gridCol w:w="77"/>
        <w:gridCol w:w="1057"/>
        <w:gridCol w:w="743"/>
        <w:gridCol w:w="139"/>
        <w:gridCol w:w="110"/>
        <w:gridCol w:w="8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488"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蒋亚</w:t>
            </w:r>
            <w:r>
              <w:rPr>
                <w:rFonts w:hint="eastAsia" w:ascii="仿宋_GB2312" w:hAnsi="仿宋_GB2312" w:eastAsia="仿宋_GB2312" w:cs="仿宋_GB2312"/>
                <w:color w:val="000000"/>
                <w:sz w:val="24"/>
                <w:lang w:eastAsia="zh-CN"/>
              </w:rPr>
              <w:t>潼</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18273005168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62</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10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widowControl/>
              <w:rPr>
                <w:rFonts w:eastAsia="仿宋_GB2312"/>
                <w:color w:val="000000" w:themeColor="text1"/>
                <w:kern w:val="0"/>
                <w:sz w:val="24"/>
              </w:rPr>
            </w:pPr>
          </w:p>
          <w:p>
            <w:pPr>
              <w:widowControl/>
              <w:rPr>
                <w:rFonts w:eastAsia="仿宋_GB2312"/>
                <w:color w:val="000000" w:themeColor="text1"/>
                <w:kern w:val="0"/>
                <w:sz w:val="24"/>
              </w:rPr>
            </w:pPr>
            <w:r>
              <w:rPr>
                <w:rFonts w:hint="eastAsia" w:eastAsia="仿宋_GB2312"/>
                <w:color w:val="000000" w:themeColor="text1"/>
                <w:kern w:val="0"/>
                <w:sz w:val="24"/>
              </w:rPr>
              <w:t>(1)研究拟订全市文化、旅游、广播电视、网络视听节目服务管理、文物和博物馆事业的政策措施，加强广播电视阵地管理，把握正确的舆论导向和创作导向。起草文化、文物事业的地方性法规、规章草案。</w:t>
            </w:r>
          </w:p>
          <w:p>
            <w:pPr>
              <w:widowControl/>
              <w:rPr>
                <w:rFonts w:eastAsia="仿宋_GB2312"/>
                <w:color w:val="000000" w:themeColor="text1"/>
                <w:kern w:val="0"/>
                <w:sz w:val="24"/>
              </w:rPr>
            </w:pPr>
            <w:r>
              <w:rPr>
                <w:rFonts w:hint="eastAsia" w:eastAsia="仿宋_GB2312"/>
                <w:color w:val="000000" w:themeColor="text1"/>
                <w:kern w:val="0"/>
                <w:sz w:val="24"/>
              </w:rPr>
              <w:t>(2)统筹规划文化事业、文化产业、旅游业、广播电视业和文物事业发展，拟订发展规划并组织实施，推进文化和旅游融合发展，推进文化和旅游体制机制改革。</w:t>
            </w:r>
          </w:p>
          <w:p>
            <w:pPr>
              <w:widowControl/>
              <w:rPr>
                <w:rFonts w:eastAsia="仿宋_GB2312"/>
                <w:color w:val="000000" w:themeColor="text1"/>
                <w:kern w:val="0"/>
                <w:sz w:val="24"/>
              </w:rPr>
            </w:pPr>
            <w:r>
              <w:rPr>
                <w:rFonts w:hint="eastAsia" w:eastAsia="仿宋_GB2312"/>
                <w:color w:val="000000" w:themeColor="text1"/>
                <w:kern w:val="0"/>
                <w:sz w:val="24"/>
              </w:rPr>
              <w:t>(3)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widowControl/>
              <w:rPr>
                <w:rFonts w:eastAsia="仿宋_GB2312"/>
                <w:color w:val="000000" w:themeColor="text1"/>
                <w:kern w:val="0"/>
                <w:sz w:val="24"/>
              </w:rPr>
            </w:pPr>
            <w:r>
              <w:rPr>
                <w:rFonts w:hint="eastAsia" w:eastAsia="仿宋_GB2312"/>
                <w:color w:val="000000" w:themeColor="text1"/>
                <w:kern w:val="0"/>
                <w:sz w:val="24"/>
              </w:rPr>
              <w:t>(4)指导、管理文艺事业，指导艺术创作生产，扶持体现社会主义核心价值观、具有导向性代表性示范性的文艺作品，推动各门类艺术、各艺术品种发展。</w:t>
            </w:r>
          </w:p>
          <w:p>
            <w:pPr>
              <w:widowControl/>
              <w:rPr>
                <w:rFonts w:eastAsia="仿宋_GB2312"/>
                <w:color w:val="000000" w:themeColor="text1"/>
                <w:kern w:val="0"/>
                <w:sz w:val="24"/>
              </w:rPr>
            </w:pPr>
            <w:r>
              <w:rPr>
                <w:rFonts w:hint="eastAsia" w:eastAsia="仿宋_GB2312"/>
                <w:color w:val="000000" w:themeColor="text1"/>
                <w:kern w:val="0"/>
                <w:sz w:val="24"/>
              </w:rPr>
              <w:t>(5)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widowControl/>
              <w:rPr>
                <w:rFonts w:eastAsia="仿宋_GB2312"/>
                <w:color w:val="000000" w:themeColor="text1"/>
                <w:kern w:val="0"/>
                <w:sz w:val="24"/>
              </w:rPr>
            </w:pPr>
            <w:r>
              <w:rPr>
                <w:rFonts w:hint="eastAsia" w:eastAsia="仿宋_GB2312"/>
                <w:color w:val="000000" w:themeColor="text1"/>
                <w:kern w:val="0"/>
                <w:sz w:val="24"/>
              </w:rPr>
              <w:t>(6)指导、推进文化和旅游科技创新发展，推进文化和旅游行业信息化、标准化建设。</w:t>
            </w:r>
          </w:p>
          <w:p>
            <w:pPr>
              <w:widowControl/>
              <w:rPr>
                <w:rFonts w:eastAsia="仿宋_GB2312"/>
                <w:color w:val="000000" w:themeColor="text1"/>
                <w:kern w:val="0"/>
                <w:sz w:val="24"/>
              </w:rPr>
            </w:pPr>
            <w:r>
              <w:rPr>
                <w:rFonts w:hint="eastAsia" w:eastAsia="仿宋_GB2312"/>
                <w:color w:val="000000" w:themeColor="text1"/>
                <w:kern w:val="0"/>
                <w:sz w:val="24"/>
              </w:rPr>
              <w:t>(7)负责推动完善全市文物和博物馆公共文化服务体系建设，拟定文物和博物馆公共资源共享规划并推动实施。指导全市文物和博物馆的业务工作，协调博物馆间的交流与协作。</w:t>
            </w:r>
          </w:p>
          <w:p>
            <w:pPr>
              <w:widowControl/>
              <w:rPr>
                <w:rFonts w:eastAsia="仿宋_GB2312"/>
                <w:color w:val="000000" w:themeColor="text1"/>
                <w:kern w:val="0"/>
                <w:sz w:val="24"/>
              </w:rPr>
            </w:pPr>
            <w:r>
              <w:rPr>
                <w:rFonts w:hint="eastAsia" w:eastAsia="仿宋_GB2312"/>
                <w:color w:val="000000" w:themeColor="text1"/>
                <w:kern w:val="0"/>
                <w:sz w:val="24"/>
              </w:rPr>
              <w:t>(8)负责全市非物质文化遗产保护，推动非物质文化遗产的保护、传承、普及、弘扬和振兴。</w:t>
            </w:r>
          </w:p>
          <w:p>
            <w:pPr>
              <w:widowControl/>
              <w:rPr>
                <w:rFonts w:eastAsia="仿宋_GB2312"/>
                <w:color w:val="000000" w:themeColor="text1"/>
                <w:kern w:val="0"/>
                <w:sz w:val="24"/>
              </w:rPr>
            </w:pPr>
            <w:r>
              <w:rPr>
                <w:rFonts w:hint="eastAsia" w:eastAsia="仿宋_GB2312"/>
                <w:color w:val="000000" w:themeColor="text1"/>
                <w:kern w:val="0"/>
                <w:sz w:val="24"/>
              </w:rPr>
              <w:t>(9)统筹规划全市文化产业和旅游产业，组织实施文化和旅游资源普查、挖掘、保护和利用工作，促进文化产业和旅游产业发展。指导、协调、推动广播电视领域产业发展，制定发展规划、产业政策并组织实施。</w:t>
            </w:r>
          </w:p>
          <w:p>
            <w:pPr>
              <w:widowControl/>
              <w:rPr>
                <w:rFonts w:eastAsia="仿宋_GB2312"/>
                <w:color w:val="000000" w:themeColor="text1"/>
                <w:kern w:val="0"/>
                <w:sz w:val="24"/>
              </w:rPr>
            </w:pPr>
            <w:r>
              <w:rPr>
                <w:rFonts w:hint="eastAsia" w:eastAsia="仿宋_GB2312"/>
                <w:color w:val="000000" w:themeColor="text1"/>
                <w:kern w:val="0"/>
                <w:sz w:val="24"/>
              </w:rPr>
              <w:t>(10)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widowControl/>
              <w:rPr>
                <w:rFonts w:eastAsia="仿宋_GB2312"/>
                <w:color w:val="000000" w:themeColor="text1"/>
                <w:kern w:val="0"/>
                <w:sz w:val="24"/>
              </w:rPr>
            </w:pPr>
            <w:r>
              <w:rPr>
                <w:rFonts w:hint="eastAsia" w:eastAsia="仿宋_GB2312"/>
                <w:color w:val="000000" w:themeColor="text1"/>
                <w:kern w:val="0"/>
                <w:sz w:val="24"/>
              </w:rPr>
              <w:t>(11)指导全市文化市场综合执法，组织查处全市性、跨区域文化、文物、出版、广播电视、电影、旅游等市场的违法行为，督查督办大案要案，维护市场秩序。</w:t>
            </w:r>
          </w:p>
          <w:p>
            <w:pPr>
              <w:widowControl/>
              <w:rPr>
                <w:rFonts w:eastAsia="仿宋_GB2312"/>
                <w:color w:val="000000" w:themeColor="text1"/>
                <w:kern w:val="0"/>
                <w:sz w:val="24"/>
              </w:rPr>
            </w:pPr>
            <w:r>
              <w:rPr>
                <w:rFonts w:hint="eastAsia" w:eastAsia="仿宋_GB2312"/>
                <w:color w:val="000000" w:themeColor="text1"/>
                <w:kern w:val="0"/>
                <w:sz w:val="24"/>
              </w:rPr>
              <w:t>(12)指导、管理全市文化、旅游、广播电视和文物对外及对港澳台交流、合作和宣传、推广工作，组织大型文化和旅游对外及对港澳台交流活动，推动岳阳文化走出去。负责广播电视节目的进口、收录和管理。</w:t>
            </w:r>
          </w:p>
          <w:p>
            <w:pPr>
              <w:widowControl/>
              <w:rPr>
                <w:rFonts w:eastAsia="仿宋_GB2312"/>
                <w:color w:val="000000" w:themeColor="text1"/>
                <w:kern w:val="0"/>
                <w:sz w:val="24"/>
              </w:rPr>
            </w:pPr>
            <w:r>
              <w:rPr>
                <w:rFonts w:hint="eastAsia" w:eastAsia="仿宋_GB2312"/>
                <w:color w:val="000000" w:themeColor="text1"/>
                <w:kern w:val="0"/>
                <w:sz w:val="24"/>
              </w:rPr>
              <w:t>(13)指导电视剧行业发展和电视剧创作生产。监督管理、审查广播电视节目、网络视听节目的内容和质量。指导、监管广播电视广告播放。</w:t>
            </w:r>
          </w:p>
          <w:p>
            <w:pPr>
              <w:widowControl/>
              <w:rPr>
                <w:rFonts w:eastAsia="仿宋_GB2312"/>
                <w:color w:val="000000" w:themeColor="text1"/>
                <w:kern w:val="0"/>
                <w:sz w:val="24"/>
              </w:rPr>
            </w:pPr>
            <w:r>
              <w:rPr>
                <w:rFonts w:hint="eastAsia" w:eastAsia="仿宋_GB2312"/>
                <w:color w:val="000000" w:themeColor="text1"/>
                <w:kern w:val="0"/>
                <w:sz w:val="24"/>
              </w:rPr>
              <w:t>(14)指导、协调广播电视全市性重大宣传活动，指导实施广播电视节目评价工作。</w:t>
            </w:r>
          </w:p>
          <w:p>
            <w:pPr>
              <w:widowControl/>
              <w:rPr>
                <w:rFonts w:eastAsia="仿宋_GB2312"/>
                <w:color w:val="000000" w:themeColor="text1"/>
                <w:kern w:val="0"/>
                <w:sz w:val="24"/>
              </w:rPr>
            </w:pPr>
            <w:r>
              <w:rPr>
                <w:rFonts w:hint="eastAsia" w:eastAsia="仿宋_GB2312"/>
                <w:color w:val="000000" w:themeColor="text1"/>
                <w:kern w:val="0"/>
                <w:sz w:val="24"/>
              </w:rPr>
              <w:t>(15)负责推进广播电视与新媒体新技术新业态融合发展，推进广电网与电信网、互联网三网融合。</w:t>
            </w:r>
          </w:p>
          <w:p>
            <w:pPr>
              <w:widowControl/>
              <w:rPr>
                <w:rFonts w:eastAsia="仿宋_GB2312"/>
                <w:color w:val="000000" w:themeColor="text1"/>
                <w:kern w:val="0"/>
                <w:sz w:val="24"/>
              </w:rPr>
            </w:pPr>
            <w:r>
              <w:rPr>
                <w:rFonts w:hint="eastAsia" w:eastAsia="仿宋_GB2312"/>
                <w:color w:val="000000" w:themeColor="text1"/>
                <w:kern w:val="0"/>
                <w:sz w:val="24"/>
              </w:rPr>
              <w:t>(16) 组织制定广播电视科技发展规划、政策并组织实施和监督检查。负责对广播电视节目传输覆盖、监测和安全播出进行监管，指导、推进国家应急广播体系建设。指导、协调广播电视系统安全和保卫工作。</w:t>
            </w:r>
          </w:p>
          <w:p>
            <w:pPr>
              <w:widowControl/>
              <w:rPr>
                <w:rFonts w:eastAsia="仿宋_GB2312"/>
                <w:color w:val="000000" w:themeColor="text1"/>
                <w:kern w:val="0"/>
                <w:sz w:val="24"/>
              </w:rPr>
            </w:pPr>
            <w:r>
              <w:rPr>
                <w:rFonts w:hint="eastAsia" w:eastAsia="仿宋_GB2312"/>
                <w:color w:val="000000" w:themeColor="text1"/>
                <w:kern w:val="0"/>
                <w:sz w:val="24"/>
              </w:rPr>
              <w:t>(17)指导文化、旅游、广播电视、网络视听、文物等行业人才队伍建设。</w:t>
            </w:r>
          </w:p>
          <w:p>
            <w:pPr>
              <w:widowControl/>
              <w:rPr>
                <w:rFonts w:eastAsia="仿宋_GB2312"/>
                <w:color w:val="000000" w:themeColor="text1"/>
                <w:kern w:val="0"/>
                <w:sz w:val="24"/>
              </w:rPr>
            </w:pPr>
            <w:r>
              <w:rPr>
                <w:rFonts w:hint="eastAsia" w:eastAsia="仿宋_GB2312"/>
                <w:color w:val="000000" w:themeColor="text1"/>
                <w:kern w:val="0"/>
                <w:sz w:val="24"/>
              </w:rPr>
              <w:t>(18)协调指导全市文物和博物馆安全防范工作。履行文物行政执法督察和文物安全督察职责，配合有关部门查处文物违法的重大案件。</w:t>
            </w:r>
          </w:p>
          <w:p>
            <w:pPr>
              <w:autoSpaceDN w:val="0"/>
              <w:spacing w:line="320" w:lineRule="exact"/>
              <w:jc w:val="left"/>
              <w:textAlignment w:val="center"/>
              <w:rPr>
                <w:rFonts w:eastAsia="仿宋_GB2312"/>
                <w:color w:val="000000" w:themeColor="text1"/>
                <w:kern w:val="0"/>
                <w:sz w:val="24"/>
              </w:rPr>
            </w:pPr>
            <w:r>
              <w:rPr>
                <w:rFonts w:hint="eastAsia" w:eastAsia="仿宋_GB2312"/>
                <w:color w:val="000000" w:themeColor="text1"/>
                <w:kern w:val="0"/>
                <w:sz w:val="24"/>
              </w:rPr>
              <w:t>(19)承办市委、市政府交办的其他任务。</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2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1.推动艺术创作繁荣发展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2.扎实推进公共服务体系建设</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3.加强文化遗产保护传承利用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4.促进文化和旅游产业持续发展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5.提升市场管理水平，强化市场监管执法力度</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6.推进文化和旅游融合发展</w:t>
            </w:r>
            <w:r>
              <w:rPr>
                <w:szCs w:val="21"/>
              </w:rPr>
              <w:t xml:space="preserve"> </w:t>
            </w:r>
          </w:p>
          <w:p>
            <w:pPr>
              <w:widowControl/>
              <w:jc w:val="left"/>
              <w:rPr>
                <w:szCs w:val="21"/>
              </w:rPr>
            </w:pPr>
          </w:p>
          <w:p>
            <w:pPr>
              <w:widowControl/>
              <w:jc w:val="lef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8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bottom"/>
          </w:tcPr>
          <w:p>
            <w:pPr>
              <w:autoSpaceDN w:val="0"/>
              <w:spacing w:line="320" w:lineRule="exact"/>
              <w:ind w:firstLine="480" w:firstLineChars="200"/>
              <w:jc w:val="center"/>
              <w:textAlignment w:val="center"/>
              <w:rPr>
                <w:rFonts w:ascii="仿宋_GB2312" w:hAnsi="仿宋_GB2312" w:eastAsia="仿宋_GB2312" w:cs="仿宋_GB2312"/>
                <w:color w:val="000000"/>
                <w:sz w:val="24"/>
              </w:rPr>
            </w:pPr>
          </w:p>
          <w:p>
            <w:pPr>
              <w:autoSpaceDN w:val="0"/>
              <w:spacing w:line="320" w:lineRule="exact"/>
              <w:ind w:firstLine="480" w:firstLineChars="20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全市文旅广电系统围绕庆祝党的百年华诞，从学习党史和习近平总书记关于文旅工作重要论述、对湖南和岳阳重要讲话精神中汲取前进力量，奋力实干担当，勇于开拓创新，实现了“十四五”开好局、起好步。2021年全市文化产业总产值654.51亿元，同比增长9.06%。按全国今年调整后的统一核算方法，2021年全市接待游客4311.74万人次，同比增长16.03%；旅游收入449.15亿元，同比增长7.48%。我市成功入选2021(首届)中国文化百强市。市文旅广电局荣获全市平安建设、人大建议和政协提案办理工作、全国文明城市届满复查工作等先进单位。平江县被评为省政府2021年文化和旅游真抓实干督查激励先进县市区。全市文旅广电系统共获得国家级奖励和荣誉19项，省级奖励和荣誉93项。</w:t>
            </w:r>
          </w:p>
          <w:p>
            <w:pPr>
              <w:autoSpaceDN w:val="0"/>
              <w:spacing w:line="320" w:lineRule="exact"/>
              <w:ind w:firstLine="480" w:firstLineChars="200"/>
              <w:jc w:val="center"/>
              <w:textAlignment w:val="center"/>
              <w:rPr>
                <w:rFonts w:ascii="仿宋_GB2312" w:hAnsi="仿宋_GB2312" w:eastAsia="仿宋_GB2312" w:cs="仿宋_GB2312"/>
                <w:color w:val="000000"/>
                <w:sz w:val="24"/>
              </w:rPr>
            </w:pPr>
          </w:p>
          <w:p>
            <w:pPr>
              <w:autoSpaceDN w:val="0"/>
              <w:spacing w:line="320" w:lineRule="exact"/>
              <w:ind w:firstLine="480" w:firstLineChars="200"/>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rPr>
              <w:t>17564.81</w:t>
            </w:r>
          </w:p>
        </w:tc>
        <w:tc>
          <w:tcPr>
            <w:tcW w:w="1355" w:type="dxa"/>
            <w:gridSpan w:val="2"/>
            <w:tcBorders>
              <w:lef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rPr>
              <w:t>1473.09</w:t>
            </w:r>
          </w:p>
        </w:tc>
        <w:tc>
          <w:tcPr>
            <w:tcW w:w="1007" w:type="dxa"/>
            <w:gridSpan w:val="2"/>
            <w:vAlign w:val="center"/>
          </w:tcPr>
          <w:p>
            <w:pPr>
              <w:jc w:val="center"/>
              <w:rPr>
                <w:rFonts w:ascii="仿宋_GB2312" w:hAnsi="宋体" w:eastAsia="仿宋_GB2312" w:cs="宋体"/>
                <w:color w:val="000000"/>
                <w:sz w:val="24"/>
              </w:rPr>
            </w:pPr>
            <w:r>
              <w:rPr>
                <w:rFonts w:hint="eastAsia" w:ascii="仿宋_GB2312" w:eastAsia="仿宋_GB2312"/>
                <w:color w:val="000000"/>
              </w:rPr>
              <w:t>9223.65</w:t>
            </w:r>
          </w:p>
        </w:tc>
        <w:tc>
          <w:tcPr>
            <w:tcW w:w="1778" w:type="dxa"/>
            <w:gridSpan w:val="3"/>
            <w:vAlign w:val="center"/>
          </w:tcPr>
          <w:p>
            <w:pPr>
              <w:jc w:val="center"/>
              <w:rPr>
                <w:rFonts w:ascii="仿宋_GB2312" w:hAnsi="宋体" w:eastAsia="仿宋_GB2312" w:cs="宋体"/>
                <w:color w:val="000000"/>
                <w:sz w:val="24"/>
              </w:rPr>
            </w:pPr>
          </w:p>
        </w:tc>
        <w:tc>
          <w:tcPr>
            <w:tcW w:w="1800" w:type="dxa"/>
            <w:gridSpan w:val="2"/>
            <w:vAlign w:val="center"/>
          </w:tcPr>
          <w:p>
            <w:pPr>
              <w:jc w:val="center"/>
              <w:rPr>
                <w:rFonts w:ascii="仿宋_GB2312" w:hAnsi="宋体" w:eastAsia="仿宋_GB2312" w:cs="宋体"/>
                <w:color w:val="000000"/>
                <w:sz w:val="24"/>
              </w:rPr>
            </w:pPr>
          </w:p>
        </w:tc>
        <w:tc>
          <w:tcPr>
            <w:tcW w:w="1080" w:type="dxa"/>
            <w:gridSpan w:val="3"/>
            <w:vAlign w:val="center"/>
          </w:tcPr>
          <w:p>
            <w:pPr>
              <w:jc w:val="center"/>
              <w:rPr>
                <w:rFonts w:ascii="仿宋_GB2312" w:hAnsi="宋体" w:eastAsia="仿宋_GB2312" w:cs="宋体"/>
                <w:color w:val="000000"/>
                <w:sz w:val="24"/>
              </w:rPr>
            </w:pPr>
            <w:r>
              <w:rPr>
                <w:rFonts w:hint="eastAsia" w:ascii="仿宋_GB2312" w:eastAsia="仿宋_GB2312"/>
                <w:color w:val="000000"/>
              </w:rPr>
              <w:t>6868.06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w:t>
            </w:r>
            <w:r>
              <w:rPr>
                <w:rFonts w:hint="eastAsia" w:ascii="仿宋_GB2312" w:hAnsi="仿宋_GB2312" w:eastAsia="仿宋_GB2312" w:cs="仿宋_GB2312"/>
                <w:szCs w:val="21"/>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8064.39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670.91</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2734.34</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4659.14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5"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.岳阳市巴陵戏传承研究院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3245.18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2057.86</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1187.32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、岳阳市博物馆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1393.29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596.37</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680.53</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38"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4.岳阳市君山岛文物管理所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626.63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626.63</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5.岳阳市美术馆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200.55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11.85</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154.60</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w:t>
            </w:r>
            <w:r>
              <w:rPr>
                <w:rFonts w:ascii="仿宋_GB2312" w:hAnsi="仿宋_GB2312" w:eastAsia="仿宋_GB2312" w:cs="仿宋_GB2312"/>
                <w:szCs w:val="21"/>
              </w:rPr>
              <w:t>岳阳市群众艺术馆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392.67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7.33</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323.84</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w:t>
            </w:r>
            <w:r>
              <w:rPr>
                <w:rFonts w:ascii="仿宋_GB2312" w:hAnsi="仿宋_GB2312" w:eastAsia="仿宋_GB2312" w:cs="仿宋_GB2312"/>
                <w:szCs w:val="21"/>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958.59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66.80</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741.42</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8.岳阳市文化市场综合执法局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871.41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111.24</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742.67</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127.29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127.29</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10.岳阳市文学艺术研究所</w:t>
            </w:r>
          </w:p>
        </w:tc>
        <w:tc>
          <w:tcPr>
            <w:tcW w:w="1080" w:type="dxa"/>
            <w:tcBorders>
              <w:right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182.00</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134.82</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11.岳阳市岳阳楼文物保护中心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707.38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112.81</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594.57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3"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12.岳阳文化艺术会展中心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795.43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8.59</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786.84</w:t>
            </w:r>
          </w:p>
        </w:tc>
        <w:tc>
          <w:tcPr>
            <w:tcW w:w="1778"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97"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823"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708"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4"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92"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31"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 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4"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92"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31"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rPr>
              <w:t>17408.40</w:t>
            </w:r>
          </w:p>
        </w:tc>
        <w:tc>
          <w:tcPr>
            <w:tcW w:w="1355" w:type="dxa"/>
            <w:gridSpan w:val="2"/>
            <w:tcBorders>
              <w:lef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rPr>
              <w:t>7613.81</w:t>
            </w:r>
          </w:p>
        </w:tc>
        <w:tc>
          <w:tcPr>
            <w:tcW w:w="1007" w:type="dxa"/>
            <w:gridSpan w:val="2"/>
            <w:vAlign w:val="center"/>
          </w:tcPr>
          <w:p>
            <w:pPr>
              <w:jc w:val="center"/>
              <w:rPr>
                <w:rFonts w:ascii="仿宋_GB2312" w:hAnsi="宋体" w:eastAsia="仿宋_GB2312" w:cs="宋体"/>
                <w:color w:val="000000"/>
                <w:sz w:val="24"/>
              </w:rPr>
            </w:pPr>
            <w:r>
              <w:rPr>
                <w:rFonts w:hint="eastAsia" w:ascii="仿宋_GB2312" w:eastAsia="仿宋_GB2312"/>
                <w:color w:val="000000"/>
              </w:rPr>
              <w:t>5883.54</w:t>
            </w:r>
          </w:p>
        </w:tc>
        <w:tc>
          <w:tcPr>
            <w:tcW w:w="1701" w:type="dxa"/>
            <w:gridSpan w:val="2"/>
            <w:vAlign w:val="center"/>
          </w:tcPr>
          <w:p>
            <w:pPr>
              <w:jc w:val="center"/>
              <w:rPr>
                <w:rFonts w:ascii="仿宋_GB2312" w:hAnsi="宋体" w:eastAsia="仿宋_GB2312" w:cs="宋体"/>
                <w:color w:val="000000"/>
                <w:sz w:val="24"/>
              </w:rPr>
            </w:pPr>
            <w:r>
              <w:rPr>
                <w:rFonts w:hint="eastAsia" w:ascii="仿宋_GB2312" w:eastAsia="仿宋_GB2312"/>
                <w:color w:val="000000"/>
              </w:rPr>
              <w:t>1730.27</w:t>
            </w:r>
          </w:p>
        </w:tc>
        <w:tc>
          <w:tcPr>
            <w:tcW w:w="1134" w:type="dxa"/>
            <w:gridSpan w:val="2"/>
            <w:vAlign w:val="center"/>
          </w:tcPr>
          <w:p>
            <w:pPr>
              <w:jc w:val="center"/>
              <w:rPr>
                <w:rFonts w:ascii="仿宋_GB2312" w:hAnsi="宋体" w:eastAsia="仿宋_GB2312" w:cs="宋体"/>
                <w:color w:val="000000"/>
                <w:sz w:val="24"/>
              </w:rPr>
            </w:pPr>
            <w:r>
              <w:rPr>
                <w:rFonts w:hint="eastAsia" w:ascii="仿宋_GB2312" w:eastAsia="仿宋_GB2312"/>
                <w:color w:val="000000"/>
              </w:rPr>
              <w:t>9794.59</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-1316.68</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8059.90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1999.88</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1448.01</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551.87</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6060.02</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-666.42</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8"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.岳阳市巴陵戏传承研究院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3245.18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1385.71</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1251.07</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134.64</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1859.47</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、岳阳市博物馆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1293.36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349.44</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203.02</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146.42</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943.92</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-496.44</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4.岳阳市君山岛文物管理所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626.63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626.63</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523.94</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102.69</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5.岳阳市美术馆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200.55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131.55</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88.34</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43.21</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69.00</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-11.85</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w:t>
            </w:r>
            <w:r>
              <w:rPr>
                <w:rFonts w:ascii="仿宋_GB2312" w:hAnsi="仿宋_GB2312" w:eastAsia="仿宋_GB2312" w:cs="仿宋_GB2312"/>
                <w:szCs w:val="21"/>
              </w:rPr>
              <w:t>岳阳市群众艺术馆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377.54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237.12</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212.80</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24.32</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140.42</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7.80</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w:t>
            </w:r>
            <w:r>
              <w:rPr>
                <w:rFonts w:ascii="仿宋_GB2312" w:hAnsi="仿宋_GB2312" w:eastAsia="仿宋_GB2312" w:cs="仿宋_GB2312"/>
                <w:szCs w:val="21"/>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932.60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672.50</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599.26</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73.24</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260.10</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-40.81</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8.岳阳市文化市场综合执法局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860.54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793.95</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613.87</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180.08</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66.59</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-100.37</w:t>
            </w: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127.29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79.69</w:t>
            </w:r>
          </w:p>
        </w:tc>
        <w:tc>
          <w:tcPr>
            <w:tcW w:w="100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71.48</w:t>
            </w:r>
          </w:p>
        </w:tc>
        <w:tc>
          <w:tcPr>
            <w:tcW w:w="1701"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8.21</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47.6</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10.岳阳市文学艺术研究所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182.00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139.66</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94.30</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45.36</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42.34</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p>
        </w:tc>
        <w:tc>
          <w:tcPr>
            <w:tcW w:w="831" w:type="dxa"/>
            <w:tcBorders>
              <w:left w:val="single" w:color="auto" w:sz="4" w:space="0"/>
            </w:tcBorders>
            <w:vAlign w:val="center"/>
          </w:tcPr>
          <w:p>
            <w:pPr>
              <w:jc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11.岳阳市岳阳楼文物保护中心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707.38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610.96</w:t>
            </w:r>
          </w:p>
        </w:tc>
        <w:tc>
          <w:tcPr>
            <w:tcW w:w="100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520.46</w:t>
            </w:r>
          </w:p>
        </w:tc>
        <w:tc>
          <w:tcPr>
            <w:tcW w:w="1701"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90.50</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96.42</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p>
        </w:tc>
        <w:tc>
          <w:tcPr>
            <w:tcW w:w="831"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12.岳阳文化艺术会展中心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795.43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586.72</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256.99</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329.73</w:t>
            </w:r>
          </w:p>
        </w:tc>
        <w:tc>
          <w:tcPr>
            <w:tcW w:w="1134"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208.71</w:t>
            </w:r>
          </w:p>
        </w:tc>
        <w:tc>
          <w:tcPr>
            <w:tcW w:w="992" w:type="dxa"/>
            <w:gridSpan w:val="3"/>
            <w:tcBorders>
              <w:right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-8.59</w:t>
            </w:r>
          </w:p>
        </w:tc>
        <w:tc>
          <w:tcPr>
            <w:tcW w:w="831" w:type="dxa"/>
            <w:tcBorders>
              <w:left w:val="single" w:color="auto" w:sz="4" w:space="0"/>
            </w:tcBorders>
            <w:vAlign w:val="center"/>
          </w:tcPr>
          <w:p>
            <w:pPr>
              <w:jc w:val="center"/>
            </w:pPr>
            <w:r>
              <w:rPr>
                <w:rFonts w:hint="eastAsia" w:ascii="仿宋_GB2312" w:hAnsi="仿宋_GB2312" w:eastAsia="仿宋_GB2312" w:cs="仿宋_GB2312"/>
                <w:color w:val="000000"/>
                <w:szCs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三公经费</w:t>
            </w:r>
          </w:p>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c>
          <w:tcPr>
            <w:tcW w:w="7020"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公务接待费</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公务用车运维费</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公务用车购置费</w:t>
            </w: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rPr>
              <w:t>27.10</w:t>
            </w:r>
          </w:p>
        </w:tc>
        <w:tc>
          <w:tcPr>
            <w:tcW w:w="1355" w:type="dxa"/>
            <w:gridSpan w:val="2"/>
            <w:tcBorders>
              <w:left w:val="single" w:color="auto" w:sz="4" w:space="0"/>
            </w:tcBorders>
            <w:vAlign w:val="center"/>
          </w:tcPr>
          <w:p>
            <w:pPr>
              <w:jc w:val="center"/>
              <w:rPr>
                <w:rFonts w:ascii="仿宋_GB2312" w:hAnsi="宋体" w:eastAsia="仿宋_GB2312" w:cs="宋体"/>
                <w:color w:val="000000"/>
                <w:sz w:val="24"/>
              </w:rPr>
            </w:pPr>
            <w:r>
              <w:rPr>
                <w:rFonts w:hint="eastAsia" w:ascii="仿宋_GB2312" w:eastAsia="仿宋_GB2312"/>
                <w:color w:val="000000"/>
              </w:rPr>
              <w:t>10.88</w:t>
            </w:r>
          </w:p>
        </w:tc>
        <w:tc>
          <w:tcPr>
            <w:tcW w:w="1007" w:type="dxa"/>
            <w:gridSpan w:val="2"/>
            <w:vAlign w:val="center"/>
          </w:tcPr>
          <w:p>
            <w:pPr>
              <w:jc w:val="center"/>
              <w:rPr>
                <w:rFonts w:ascii="仿宋_GB2312" w:hAnsi="宋体" w:eastAsia="仿宋_GB2312" w:cs="宋体"/>
                <w:color w:val="000000"/>
                <w:sz w:val="24"/>
              </w:rPr>
            </w:pPr>
            <w:r>
              <w:rPr>
                <w:rFonts w:hint="eastAsia" w:ascii="仿宋_GB2312" w:eastAsia="仿宋_GB2312"/>
                <w:color w:val="000000"/>
              </w:rPr>
              <w:t>16.22</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15.82</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5.71</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10.11</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.岳阳市巴陵戏传承研究院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0.24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0.24</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、岳阳市博物馆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0.96</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0.96</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4.岳阳市君山岛文物管理所</w:t>
            </w:r>
          </w:p>
        </w:tc>
        <w:tc>
          <w:tcPr>
            <w:tcW w:w="1080" w:type="dxa"/>
            <w:tcBorders>
              <w:right w:val="single" w:color="auto" w:sz="4" w:space="0"/>
            </w:tcBorders>
            <w:vAlign w:val="center"/>
          </w:tcPr>
          <w:p>
            <w:pPr>
              <w:jc w:val="center"/>
            </w:pPr>
            <w:r>
              <w:rPr>
                <w:rFonts w:hint="eastAsia" w:ascii="仿宋_GB2312" w:hAnsi="仿宋_GB2312" w:eastAsia="仿宋_GB2312" w:cs="仿宋_GB2312"/>
                <w:color w:val="000000"/>
                <w:szCs w:val="21"/>
              </w:rPr>
              <w:t>0.00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5.岳阳市美术馆</w:t>
            </w:r>
          </w:p>
        </w:tc>
        <w:tc>
          <w:tcPr>
            <w:tcW w:w="1080" w:type="dxa"/>
            <w:tcBorders>
              <w:right w:val="single" w:color="auto" w:sz="4" w:space="0"/>
            </w:tcBorders>
            <w:vAlign w:val="center"/>
          </w:tcPr>
          <w:p>
            <w:pPr>
              <w:jc w:val="center"/>
            </w:pPr>
            <w:r>
              <w:rPr>
                <w:rFonts w:hint="eastAsia" w:ascii="仿宋_GB2312" w:hAnsi="仿宋_GB2312" w:eastAsia="仿宋_GB2312" w:cs="仿宋_GB2312"/>
                <w:color w:val="000000"/>
                <w:szCs w:val="21"/>
              </w:rPr>
              <w:t>0.00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w:t>
            </w:r>
            <w:r>
              <w:rPr>
                <w:rFonts w:ascii="仿宋_GB2312" w:hAnsi="仿宋_GB2312" w:eastAsia="仿宋_GB2312" w:cs="仿宋_GB2312"/>
                <w:szCs w:val="21"/>
              </w:rPr>
              <w:t>岳阳市群众艺术馆</w:t>
            </w:r>
          </w:p>
        </w:tc>
        <w:tc>
          <w:tcPr>
            <w:tcW w:w="1080" w:type="dxa"/>
            <w:tcBorders>
              <w:right w:val="single" w:color="auto" w:sz="4" w:space="0"/>
            </w:tcBorders>
            <w:vAlign w:val="center"/>
          </w:tcPr>
          <w:p>
            <w:pPr>
              <w:jc w:val="center"/>
            </w:pPr>
            <w:r>
              <w:rPr>
                <w:rFonts w:hint="eastAsia" w:ascii="仿宋_GB2312" w:hAnsi="仿宋_GB2312" w:eastAsia="仿宋_GB2312" w:cs="仿宋_GB2312"/>
                <w:color w:val="000000"/>
                <w:szCs w:val="21"/>
              </w:rPr>
              <w:t>0.00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w:t>
            </w:r>
            <w:r>
              <w:rPr>
                <w:rFonts w:ascii="仿宋_GB2312" w:hAnsi="仿宋_GB2312" w:eastAsia="仿宋_GB2312" w:cs="仿宋_GB2312"/>
                <w:szCs w:val="21"/>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0.53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0.34</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0.19</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6"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8.岳阳市文化市场综合执法局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9.25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3.33</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5.92</w:t>
            </w: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10.岳阳市文学艺术研究所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0.3</w:t>
            </w: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11.岳阳市岳阳楼文物保护中心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8"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12.岳阳文化艺术会展中心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0.00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007"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170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295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717"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5646.38</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5646.38</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1067.29</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1067.29</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0"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.岳阳市巴陵戏传承研究院</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178.78</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178.78</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、岳阳市博物馆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285.19</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285.19</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6"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4.岳阳市君山岛文物管理所</w:t>
            </w:r>
          </w:p>
        </w:tc>
        <w:tc>
          <w:tcPr>
            <w:tcW w:w="1080" w:type="dxa"/>
            <w:tcBorders>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6.08</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6.08</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5.岳阳市美术馆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12.03</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12.03</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6.</w:t>
            </w:r>
            <w:r>
              <w:rPr>
                <w:rFonts w:ascii="仿宋_GB2312" w:hAnsi="仿宋_GB2312" w:eastAsia="仿宋_GB2312" w:cs="仿宋_GB2312"/>
                <w:szCs w:val="21"/>
              </w:rPr>
              <w:t>岳阳市群众艺术馆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214.89</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214.89</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7.</w:t>
            </w:r>
            <w:r>
              <w:rPr>
                <w:rFonts w:ascii="仿宋_GB2312" w:hAnsi="仿宋_GB2312" w:eastAsia="仿宋_GB2312" w:cs="仿宋_GB2312"/>
                <w:szCs w:val="21"/>
              </w:rPr>
              <w:t>岳阳市图书馆</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1223.96</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1223.96</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92"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8.岳阳市文化市场综合行政执法支队</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148.29</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148.29</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8"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9.岳阳市城区文物保护中心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31</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82</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31</w:t>
            </w: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82</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96"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10.岳阳市文学艺术研究所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10.75</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10.75</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0"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11.岳阳市岳阳楼文物保护中心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1497.37</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1497.37</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2" w:hRule="atLeast"/>
          <w:jc w:val="center"/>
        </w:trPr>
        <w:tc>
          <w:tcPr>
            <w:tcW w:w="1700" w:type="dxa"/>
            <w:gridSpan w:val="3"/>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12.岳阳文化艺术会展中心</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969.93</w:t>
            </w:r>
          </w:p>
        </w:tc>
        <w:tc>
          <w:tcPr>
            <w:tcW w:w="2362"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969.93</w:t>
            </w:r>
          </w:p>
        </w:tc>
        <w:tc>
          <w:tcPr>
            <w:tcW w:w="3717" w:type="dxa"/>
            <w:gridSpan w:val="6"/>
            <w:vAlign w:val="center"/>
          </w:tcPr>
          <w:p>
            <w:pPr>
              <w:autoSpaceDN w:val="0"/>
              <w:spacing w:line="320" w:lineRule="exact"/>
              <w:jc w:val="center"/>
              <w:textAlignment w:val="center"/>
              <w:rPr>
                <w:rFonts w:ascii="仿宋_GB2312" w:hAnsi="仿宋_GB2312" w:eastAsia="仿宋_GB2312" w:cs="仿宋_GB2312"/>
                <w:color w:val="000000"/>
                <w:szCs w:val="21"/>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w:t>
            </w: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效定性目标及实施计划完成情况</w:t>
            </w:r>
          </w:p>
        </w:tc>
        <w:tc>
          <w:tcPr>
            <w:tcW w:w="3701"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658"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33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01"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1.推动艺术创作繁荣发展；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2.扎实推进公共服务体系建设；</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3.促进文化和旅游产业持续发展；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4.加强文物保护和文化遗产保护传承利用；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5.加强营销推介，推进文化和旅游融合发展；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6.全面强化行业监管，确保文旅市场平稳有序。</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7.持续发展广播电视</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8.优化自身建设</w:t>
            </w:r>
          </w:p>
        </w:tc>
        <w:tc>
          <w:tcPr>
            <w:tcW w:w="4658" w:type="dxa"/>
            <w:gridSpan w:val="8"/>
            <w:vAlign w:val="center"/>
          </w:tcPr>
          <w:p>
            <w:pPr>
              <w:autoSpaceDN w:val="0"/>
              <w:spacing w:line="320" w:lineRule="exact"/>
              <w:ind w:left="480"/>
              <w:jc w:val="left"/>
              <w:textAlignment w:val="center"/>
              <w:rPr>
                <w:rFonts w:ascii="仿宋_GB2312" w:hAnsi="仿宋_GB2312" w:eastAsia="仿宋_GB2312" w:cs="仿宋_GB2312"/>
                <w:color w:val="000000"/>
                <w:sz w:val="24"/>
              </w:rPr>
            </w:pPr>
          </w:p>
          <w:p>
            <w:pPr>
              <w:numPr>
                <w:ilvl w:val="0"/>
                <w:numId w:val="1"/>
              </w:num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著名编剧吴傲君创作的花鼓戏《蔡坤山耕田》获第24届曹禺剧本奖。组织《风吹稻花香》等一批文艺作品参加省艺术节，共获各类奖项23个，其中金奖13个，特别是“书法美术摄影”类我市获得2个“齐白石奖”和1个“优秀摄影奖”，居全省前列。屈原管理区新创花鼓戏《美政今朝》参加“欢乐潇湘”文艺院团竞演省决赛。汨罗市推出《革命伴侣》等多个花鼓戏原创佳作。临湘市青少年活动中心创作的新编历史剧《周瑜打黄盖》进京比赛，该中心被授予中国教育电视台美育示范基地。市巴陵戏传承研究院复排大型传统巴陵戏《审刺客》并公演。岳阳县、临湘市等县市区也复排了一批传统剧目，参与一元剧场、送戏下乡等惠民演出，古老剧种焕发崭新活力。</w:t>
            </w:r>
          </w:p>
          <w:p>
            <w:pPr>
              <w:numPr>
                <w:ilvl w:val="0"/>
                <w:numId w:val="1"/>
              </w:num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市美术馆获评全国百佳文化空间奖。第五次全国文化馆评估定级中，我市获评一级馆7个、二级馆3个、三级馆1个。获评省级“最美潇湘文化阵地”6个，评选市级“最美潇湘文化阵地”24个。巴陵戏传承展演中心项目完成前期工作。全市累计举办“百年颂歌献给党”歌会等群众文化活动436场，近300万人次参与。完成市政府重点民生实事项目“送戏曲进万村、送书画进万家”769场，超额完成任务。岳阳文化艺术会展中心引进高雅艺术惠民演出15场，并推出“儿童亲子剧场”品牌。</w:t>
            </w:r>
          </w:p>
          <w:p>
            <w:pPr>
              <w:numPr>
                <w:ilvl w:val="0"/>
                <w:numId w:val="1"/>
              </w:num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2021年完成申报“四上文化企业”64家。全市调度在建文旅项目108个，其中重点调度项目28个。全年签约文旅项目29个，签约资金287.73亿元。</w:t>
            </w:r>
          </w:p>
          <w:p>
            <w:pPr>
              <w:numPr>
                <w:ilvl w:val="0"/>
                <w:numId w:val="1"/>
              </w:num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增省级文物保护单位9处，公布第三批市级文物保护单位20处。新增国家级非遗项目2项，省级非遗项目7项，评选优秀市级非遗传承人10人。完成32个建设项目（批次）征地范围内文物调查勘探工作，累计勘探面积490多万平方米。华容县七星墩遗址入围“2020全国十大考古新发现”，罗城遗址获评“湖南省十大考古发现”。4件（套）文物获评湖南省“百件出土文物精品”，商青铜鱼纹罍更是唯一一件超20万票的“人气王”文物。建成南湖新区茶博城和岳阳博物馆2个流动非遗馆。长乐抬阁故事会入选文旅部非遗过大年“视频直播家乡年”活动，陈范兴入选国家级非遗代表性传承人记录工程。编辑出版《岳阳市非物质文化遗产丛书》6册、《巴陵戏系列丛书》2册，完成《典籍里的岳阳》初稿编辑。</w:t>
            </w:r>
          </w:p>
          <w:p>
            <w:pPr>
              <w:pStyle w:val="2"/>
              <w:ind w:firstLine="480" w:firstLineChars="2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实现旅游高铁和豪华游轮常态化停靠岳阳，2021年到岳旅游专列11趟，长江游轮航次32个。2021年岳阳国际旅游节共举办4大主题11个子活动，新造网红打卡点36个，网络传播流量总计达7.1亿次，来岳旅游团队数量增长31%。</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6、以“秋风”“净网”“清源”等五大专项行动为抓手，结合开展打击黑导游、打击侵权盗版、校园周边整治等专项检查，进一步规范市场秩序，净化市场环境，确保文旅广电行业意识形态主阵地不失守。</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7.全市共开展非法卫星电视地面接收设施联合执法行动73次，专项整治行动45次。完成省重点民生实事广电5G全覆盖工程，共完成投资7752万元，建设基站646个。</w:t>
            </w:r>
          </w:p>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8.</w:t>
            </w:r>
            <w:r>
              <w:rPr>
                <w:rFonts w:hint="eastAsia"/>
              </w:rPr>
              <w:t xml:space="preserve"> </w:t>
            </w:r>
            <w:r>
              <w:rPr>
                <w:rFonts w:hint="eastAsia" w:ascii="仿宋_GB2312" w:hAnsi="仿宋_GB2312" w:eastAsia="仿宋_GB2312" w:cs="仿宋_GB2312"/>
                <w:color w:val="000000"/>
                <w:sz w:val="24"/>
              </w:rPr>
              <w:t>启动深化事业单位改革试点工作，其中我局涉改单位6个。</w:t>
            </w: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p>
            <w:pPr>
              <w:autoSpaceDN w:val="0"/>
              <w:spacing w:line="320" w:lineRule="exact"/>
              <w:ind w:firstLine="480" w:firstLineChars="200"/>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8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194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341"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扎实推进公共</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服务体系建设</w:t>
            </w: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完成市政府重点民生实事项目“送戏曲进万村、送书画进万家”769场，惠民演出15场。全市累计举办群众文化活动436场，近300万人次参与。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持续发展文旅产业</w:t>
            </w:r>
          </w:p>
          <w:p>
            <w:pPr>
              <w:widowControl/>
              <w:spacing w:line="240" w:lineRule="exact"/>
              <w:jc w:val="center"/>
              <w:rPr>
                <w:rFonts w:ascii="仿宋_GB2312" w:hAnsi="宋体" w:eastAsia="仿宋_GB2312" w:cs="宋体"/>
                <w:kern w:val="0"/>
                <w:szCs w:val="21"/>
              </w:rPr>
            </w:pP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完成申报“四上文化企业”64家，全市调度在建文旅项目108个，其中重点调度项目28个。全年签约文旅项目29个，签约资金287.73亿元。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文物保护和文化遗产保护传承</w:t>
            </w: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新增省级文物保护单位9处，公布第三批市级文物保护单位20处。新增国家级非遗项目2项，省级非遗项目7项，评选优秀市级非遗传承人10人。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持续发展</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广播电视</w:t>
            </w: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全市共开展非法卫星电视地面接收设施联合执法行动73次，专项整治行动45次。完成省重点民生实事广电5G全覆盖工程，共完成投资7752万元，建设基站646个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营销推介，文化和旅游融合发展</w:t>
            </w: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2021年岳阳国际旅游节共举办4大主题11个子活动，新造网红打卡点36个，网络传播流量总计达7.1亿次，来岳旅游团队数量增长31%。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强化行业监管，确保文旅市场平稳有序</w:t>
            </w: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以“秋风”“净网”“清源”等五大专项行动为抓手，结合开展打击黑导游、打击侵权盗版、校园周边整治等专项检查，进一步规范市场秩序，净化市场环境，确保文旅广电行业意识形态主阵地不失守。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优化自身建设</w:t>
            </w:r>
          </w:p>
        </w:tc>
        <w:tc>
          <w:tcPr>
            <w:tcW w:w="3524" w:type="dxa"/>
            <w:gridSpan w:val="7"/>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加强人才培养使用，共选拔任用干部12名，招录优秀人才13名，落实“巴陵人才新政20条”，共评选全市文旅发展优秀人才10名。更新完善市文旅产业人才池，录入142名专家。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1945" w:type="dxa"/>
            <w:gridSpan w:val="2"/>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文保工程合格率</w:t>
            </w:r>
            <w:r>
              <w:rPr>
                <w:rFonts w:hint="eastAsia" w:ascii="仿宋" w:hAnsi="仿宋" w:eastAsia="仿宋" w:cs="仿宋_GB2312"/>
                <w:color w:val="000000"/>
                <w:szCs w:val="21"/>
              </w:rPr>
              <w:t>≥</w:t>
            </w:r>
            <w:r>
              <w:rPr>
                <w:rFonts w:hint="eastAsia" w:ascii="仿宋_GB2312" w:hAnsi="仿宋_GB2312" w:eastAsia="仿宋_GB2312" w:cs="仿宋_GB2312"/>
                <w:color w:val="000000"/>
                <w:szCs w:val="21"/>
              </w:rPr>
              <w:t>80%</w:t>
            </w: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文保工程合格率80%以上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45" w:type="dxa"/>
            <w:gridSpan w:val="2"/>
            <w:tcBorders>
              <w:bottom w:val="single" w:color="auto" w:sz="4" w:space="0"/>
            </w:tcBorders>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游客人数和旅游综合收入增长率≧6%</w:t>
            </w:r>
          </w:p>
        </w:tc>
        <w:tc>
          <w:tcPr>
            <w:tcW w:w="3524" w:type="dxa"/>
            <w:gridSpan w:val="7"/>
            <w:tcBorders>
              <w:bottom w:val="single" w:color="auto" w:sz="4" w:space="0"/>
            </w:tcBorders>
            <w:vAlign w:val="center"/>
          </w:tcPr>
          <w:p>
            <w:pPr>
              <w:autoSpaceDN w:val="0"/>
              <w:spacing w:line="320" w:lineRule="exact"/>
              <w:jc w:val="center"/>
              <w:textAlignment w:val="center"/>
              <w:rPr>
                <w:rFonts w:ascii="仿宋_GB2312" w:hAnsi="仿宋_GB2312" w:eastAsia="仿宋_GB2312" w:cs="仿宋_GB2312"/>
                <w:b/>
                <w:color w:val="000000"/>
                <w:szCs w:val="21"/>
              </w:rPr>
            </w:pPr>
            <w:r>
              <w:rPr>
                <w:rFonts w:hint="eastAsia" w:ascii="仿宋_GB2312" w:hAnsi="仿宋_GB2312" w:eastAsia="仿宋_GB2312" w:cs="仿宋_GB2312"/>
                <w:color w:val="000000"/>
                <w:szCs w:val="21"/>
              </w:rPr>
              <w:t>接待游客4311.74万人次，同比增长16.03%；旅游收入449.15亿元，同比增长7.48%。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45" w:type="dxa"/>
            <w:gridSpan w:val="2"/>
            <w:tcBorders>
              <w:top w:val="single" w:color="auto" w:sz="4" w:space="0"/>
            </w:tcBorders>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演出完成率100%</w:t>
            </w:r>
          </w:p>
        </w:tc>
        <w:tc>
          <w:tcPr>
            <w:tcW w:w="3524" w:type="dxa"/>
            <w:gridSpan w:val="7"/>
            <w:tcBorders>
              <w:top w:val="single" w:color="auto" w:sz="4" w:space="0"/>
            </w:tcBorders>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1945" w:type="dxa"/>
            <w:gridSpan w:val="2"/>
            <w:tcBorders>
              <w:top w:val="single" w:color="auto" w:sz="4" w:space="0"/>
            </w:tcBorders>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广播电视安全保障</w:t>
            </w:r>
          </w:p>
        </w:tc>
        <w:tc>
          <w:tcPr>
            <w:tcW w:w="3524" w:type="dxa"/>
            <w:gridSpan w:val="7"/>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全年无安全播出事故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Align w:val="center"/>
          </w:tcPr>
          <w:p>
            <w:pPr>
              <w:autoSpaceDN w:val="0"/>
              <w:spacing w:line="32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时效指标</w:t>
            </w:r>
          </w:p>
        </w:tc>
        <w:tc>
          <w:tcPr>
            <w:tcW w:w="1945" w:type="dxa"/>
            <w:gridSpan w:val="2"/>
            <w:tcBorders>
              <w:top w:val="single" w:color="auto" w:sz="4" w:space="0"/>
            </w:tcBorders>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目标任务完成及时率</w:t>
            </w:r>
          </w:p>
        </w:tc>
        <w:tc>
          <w:tcPr>
            <w:tcW w:w="3524" w:type="dxa"/>
            <w:gridSpan w:val="7"/>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bCs/>
                <w:color w:val="000000"/>
                <w:szCs w:val="21"/>
              </w:rPr>
            </w:pPr>
            <w:r>
              <w:rPr>
                <w:rFonts w:hint="eastAsia" w:ascii="仿宋_GB2312" w:hAnsi="仿宋_GB2312" w:eastAsia="仿宋_GB2312" w:cs="仿宋_GB2312"/>
                <w:color w:val="00000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成本指标</w:t>
            </w:r>
          </w:p>
        </w:tc>
        <w:tc>
          <w:tcPr>
            <w:tcW w:w="1945" w:type="dxa"/>
            <w:gridSpan w:val="2"/>
            <w:tcBorders>
              <w:top w:val="single" w:color="auto" w:sz="4" w:space="0"/>
            </w:tcBorders>
            <w:vAlign w:val="center"/>
          </w:tcPr>
          <w:p>
            <w:pPr>
              <w:spacing w:line="24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预算成本控制情况</w:t>
            </w:r>
          </w:p>
        </w:tc>
        <w:tc>
          <w:tcPr>
            <w:tcW w:w="3524" w:type="dxa"/>
            <w:gridSpan w:val="7"/>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bCs/>
                <w:color w:val="000000"/>
                <w:szCs w:val="21"/>
              </w:rPr>
            </w:pPr>
            <w:r>
              <w:rPr>
                <w:rFonts w:ascii="仿宋_GB2312" w:hAnsi="仿宋_GB2312" w:eastAsia="仿宋_GB2312" w:cs="仿宋_GB2312"/>
                <w:bCs/>
                <w:color w:val="000000"/>
                <w:szCs w:val="21"/>
              </w:rPr>
              <w:t>未超出预算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3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1945" w:type="dxa"/>
            <w:gridSpan w:val="2"/>
            <w:vAlign w:val="center"/>
          </w:tcPr>
          <w:p>
            <w:pPr>
              <w:autoSpaceDN w:val="0"/>
              <w:spacing w:line="32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丰富人民群众精神文化生活,</w:t>
            </w:r>
            <w:r>
              <w:rPr>
                <w:rFonts w:hint="eastAsia"/>
              </w:rPr>
              <w:t xml:space="preserve"> </w:t>
            </w:r>
            <w:r>
              <w:rPr>
                <w:rFonts w:hint="eastAsia" w:ascii="仿宋_GB2312" w:hAnsi="仿宋_GB2312" w:eastAsia="仿宋_GB2312" w:cs="仿宋_GB2312"/>
                <w:color w:val="000000"/>
                <w:szCs w:val="21"/>
              </w:rPr>
              <w:t>推动文化与旅游的融合发展</w:t>
            </w:r>
          </w:p>
        </w:tc>
        <w:tc>
          <w:tcPr>
            <w:tcW w:w="3524" w:type="dxa"/>
            <w:gridSpan w:val="7"/>
            <w:vAlign w:val="center"/>
          </w:tcPr>
          <w:p>
            <w:pPr>
              <w:autoSpaceDN w:val="0"/>
              <w:spacing w:line="360" w:lineRule="exact"/>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达到预期效果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9"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1945" w:type="dxa"/>
            <w:gridSpan w:val="2"/>
            <w:vAlign w:val="center"/>
          </w:tcPr>
          <w:p>
            <w:pPr>
              <w:autoSpaceDN w:val="0"/>
              <w:spacing w:line="3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文化和旅游产业持续发展，经济效益显著</w:t>
            </w:r>
          </w:p>
        </w:tc>
        <w:tc>
          <w:tcPr>
            <w:tcW w:w="3524" w:type="dxa"/>
            <w:gridSpan w:val="7"/>
            <w:vAlign w:val="center"/>
          </w:tcPr>
          <w:p>
            <w:pPr>
              <w:autoSpaceDN w:val="0"/>
              <w:spacing w:line="3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2021年全市文化产业总产值654.51亿元，同比增长9.06%。旅游收入449.15亿元，同比增长7.48%。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4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可持续性影响</w:t>
            </w:r>
          </w:p>
        </w:tc>
        <w:tc>
          <w:tcPr>
            <w:tcW w:w="1945" w:type="dxa"/>
            <w:gridSpan w:val="2"/>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提升基本公共文化服务水平</w:t>
            </w:r>
          </w:p>
        </w:tc>
        <w:tc>
          <w:tcPr>
            <w:tcW w:w="3524" w:type="dxa"/>
            <w:gridSpan w:val="7"/>
            <w:vAlign w:val="center"/>
          </w:tcPr>
          <w:p>
            <w:pPr>
              <w:autoSpaceDN w:val="0"/>
              <w:spacing w:line="360" w:lineRule="exact"/>
              <w:jc w:val="center"/>
              <w:textAlignment w:val="center"/>
              <w:rPr>
                <w:rFonts w:ascii="仿宋_GB2312" w:hAnsi="宋体" w:eastAsia="仿宋_GB2312" w:cs="仿宋_GB2312"/>
                <w:color w:val="000000" w:themeColor="text1"/>
                <w:kern w:val="0"/>
                <w:szCs w:val="21"/>
              </w:rPr>
            </w:pPr>
            <w:r>
              <w:rPr>
                <w:rFonts w:ascii="仿宋_GB2312" w:hAnsi="宋体" w:eastAsia="仿宋_GB2312" w:cs="仿宋_GB2312"/>
                <w:color w:val="000000" w:themeColor="text1"/>
                <w:kern w:val="0"/>
                <w:szCs w:val="21"/>
              </w:rPr>
              <w:t>稳步提升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45" w:type="dxa"/>
            <w:gridSpan w:val="2"/>
            <w:vAlign w:val="center"/>
          </w:tcPr>
          <w:p>
            <w:pPr>
              <w:spacing w:line="24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提高文化遗产全民保护意识</w:t>
            </w:r>
          </w:p>
        </w:tc>
        <w:tc>
          <w:tcPr>
            <w:tcW w:w="3524" w:type="dxa"/>
            <w:gridSpan w:val="7"/>
            <w:vAlign w:val="center"/>
          </w:tcPr>
          <w:p>
            <w:pPr>
              <w:autoSpaceDN w:val="0"/>
              <w:spacing w:line="36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逐步提高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3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1945" w:type="dxa"/>
            <w:gridSpan w:val="2"/>
            <w:vAlign w:val="center"/>
          </w:tcPr>
          <w:p>
            <w:pPr>
              <w:autoSpaceDN w:val="0"/>
              <w:spacing w:line="360" w:lineRule="exact"/>
              <w:jc w:val="center"/>
              <w:textAlignment w:val="center"/>
              <w:rPr>
                <w:rFonts w:ascii="仿宋_GB2312" w:hAnsi="仿宋_GB2312" w:eastAsia="仿宋_GB2312" w:cs="仿宋_GB2312"/>
                <w:color w:val="000000"/>
                <w:szCs w:val="21"/>
              </w:rPr>
            </w:pPr>
            <w:r>
              <w:rPr>
                <w:rFonts w:hint="eastAsia" w:ascii="仿宋_GB2312" w:hAnsi="宋体" w:eastAsia="仿宋_GB2312" w:cs="仿宋_GB2312"/>
                <w:color w:val="000000" w:themeColor="text1"/>
                <w:kern w:val="0"/>
                <w:szCs w:val="21"/>
              </w:rPr>
              <w:t>各受众群体满意度≥90%</w:t>
            </w:r>
          </w:p>
        </w:tc>
        <w:tc>
          <w:tcPr>
            <w:tcW w:w="3524" w:type="dxa"/>
            <w:gridSpan w:val="7"/>
            <w:vAlign w:val="center"/>
          </w:tcPr>
          <w:p>
            <w:pPr>
              <w:autoSpaceDN w:val="0"/>
              <w:spacing w:line="360" w:lineRule="exact"/>
              <w:ind w:firstLine="1050" w:firstLineChars="500"/>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余国荣</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副局长、总工程师</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田军</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财务科长</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孟日清</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5"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蒋亚潼</w:t>
            </w:r>
          </w:p>
        </w:tc>
        <w:tc>
          <w:tcPr>
            <w:tcW w:w="348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会计</w:t>
            </w:r>
          </w:p>
        </w:tc>
        <w:tc>
          <w:tcPr>
            <w:tcW w:w="113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2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46"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ind w:firstLine="960" w:firstLineChars="4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82" w:hRule="atLeast"/>
          <w:jc w:val="center"/>
        </w:trPr>
        <w:tc>
          <w:tcPr>
            <w:tcW w:w="9800"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ind w:firstLine="720" w:firstLineChars="3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55" w:hRule="atLeast"/>
          <w:jc w:val="center"/>
        </w:trPr>
        <w:tc>
          <w:tcPr>
            <w:tcW w:w="9800"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ind w:firstLine="720" w:firstLineChars="300"/>
              <w:jc w:val="left"/>
              <w:textAlignment w:val="center"/>
              <w:rPr>
                <w:rFonts w:ascii="仿宋_GB2312" w:hAnsi="仿宋_GB2312" w:eastAsia="仿宋_GB2312" w:cs="仿宋_GB2312"/>
                <w:color w:val="000000"/>
                <w:sz w:val="24"/>
              </w:rPr>
            </w:pPr>
            <w:r>
              <w:rPr>
                <w:rFonts w:hint="eastAsia" w:eastAsia="仿宋_GB2312"/>
                <w:sz w:val="24"/>
              </w:rPr>
              <w:t>年</w:t>
            </w:r>
            <w:r>
              <w:rPr>
                <w:rFonts w:hint="eastAsia" w:eastAsia="仿宋_GB2312"/>
                <w:sz w:val="24"/>
                <w:lang w:val="en-US" w:eastAsia="zh-CN"/>
              </w:rPr>
              <w:t xml:space="preserve">   </w:t>
            </w:r>
            <w:r>
              <w:rPr>
                <w:rFonts w:hint="eastAsia" w:eastAsia="仿宋_GB2312"/>
                <w:sz w:val="24"/>
              </w:rPr>
              <w:t>月</w:t>
            </w:r>
            <w:r>
              <w:rPr>
                <w:rFonts w:hint="eastAsia" w:eastAsia="仿宋_GB2312"/>
                <w:sz w:val="24"/>
                <w:lang w:val="en-US" w:eastAsia="zh-CN"/>
              </w:rPr>
              <w:t xml:space="preserve">     </w:t>
            </w:r>
            <w:bookmarkStart w:id="0" w:name="_GoBack"/>
            <w:bookmarkEnd w:id="0"/>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五、评价报告综述（文字部分）</w:t>
            </w:r>
          </w:p>
          <w:p>
            <w:pPr>
              <w:spacing w:line="44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pStyle w:val="2"/>
              <w:spacing w:line="560" w:lineRule="exact"/>
              <w:ind w:firstLine="560" w:firstLineChars="200"/>
              <w:rPr>
                <w:rFonts w:ascii="仿宋_GB2312" w:hAnsi="仿宋_GB2312" w:eastAsia="仿宋_GB2312" w:cs="仿宋_GB2312"/>
                <w:bCs/>
                <w:szCs w:val="28"/>
              </w:rPr>
            </w:pPr>
            <w:r>
              <w:rPr>
                <w:rFonts w:hint="eastAsia" w:ascii="仿宋_GB2312" w:hAnsi="仿宋_GB2312" w:eastAsia="仿宋_GB2312" w:cs="仿宋_GB2312"/>
                <w:bCs/>
                <w:szCs w:val="28"/>
              </w:rPr>
              <w:t>1、部门主要职能</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(1)研究拟订全市文化、旅游、广播电视、网络视听节目服务管理、文物和博物馆事业的政策措施，加强广播电视阵地管理，把握正确的舆论导向和创作导向。起草文化、文物事业的地方性法规、规章草案。</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(2)统筹规划文化事业、文化产业、旅游业、广播电视业和文物事业发展，拟订发展规划并组织实施，推进文化和旅游融合发展，推进文化和旅游体制机制改革。</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管理全市性重大文化和旅游活动，指导全市重点文化设施、旅游设施和广播电视重点基础设施建设，组织全市文化和旅游整体形象宣传推广，促进文化产业和旅游产业对外合作和国际市场推广，制定旅游市场开发战略并组织实施，指导、推进全域旅游。</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(4)指导、管理文艺事业，指导艺术创作生产，扶持体现社会主义核心价值观、具有导向性代表性示范性的文艺作品，推动各门类艺术、各艺术品种发展。</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(5)负责全市公共文化事业发展，推进全市文化和旅游公共服务体系建设，深入实施文化惠民工程，统筹推进基本公共文化服务标准化、均等化。组织实施公共服务重大公益工程和公益活动，扶助老少边贫地区广播电视建设和发展。</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(6)指导、推进文化和旅游科技创新发展，推进文化和旅游行业信息化、标准化建设。</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(7)负责推动完善全市文物和博物馆公共文化服务体系建设，拟定文物和博物馆公共资源共享规划并推动实施。指导全市文物和博物馆的业务工作，协调博物馆间的交流与协作。</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(8)负责全市非物质文化遗产保护，推动非物质文化遗产的保护、传承、普及、弘扬和振兴。</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(9)统筹规划全市文化产业和旅游产业，组织实施文化和旅游资源普查、挖掘、保护和利用工作，促进文化产业和旅游产业发展。指导、协调、推动广播电视领域产业发展，制定发展规划、产业政策并组织实施。</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(10)指导全市文化和旅游市场发展，对文化和旅游市场经营进行行业监管，推进文化和旅游行业信用体系建设，依法规范文化和旅游市场。负责对各类广播电视机构进行业务指导和行业监管，会同有关部门对网络视听节目服务机构进行管理。</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(11)指导全市文化市场综合执法，组织查处全市性、跨区域文化、文物、出版、广播电视、电影、旅游等市场的违法行为，督查督办大案要案，维护市场秩序。</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(12)指导、管理全市文化、旅游、广播电视和文物对外及对港澳台交流、合作和宣传、推广工作，组织大型文化和旅游对外及对港澳台交流活动，推动岳阳文化走出去。负责广播电视节目的进口、收录和管理。</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(13)指导电视剧行业发展和电视剧创作生产。监督管理、审查广播电视节目、网络视听节目的内容和质量。指导、监管广播电视广告播放。</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(14)指导、协调广播电视全市性重大宣传活动，指导实施广播电视节目评价工作。</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(15)负责推进广播电视与新媒体新技术新业态融合发展，推进广电网与电信网、互联网三网融合。</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(16) 组织制定广播电视科技发展规划、政策并组织实施和监督检查。负责对广播电视节目传输覆盖、监测和安全播出进行监管，指导、推进国家应急广播体系建设。指导、协调广播电视系统安全和保卫工作。</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(17)指导文化、旅游、广播电视、网络视听、文物等行业人才队伍建设。</w:t>
            </w:r>
          </w:p>
          <w:p>
            <w:pPr>
              <w:widowControl/>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(18)协调指导全市文物和博物馆安全防范工作。履行文物行政执法督察和文物安全督察职责，配合有关部门查处文物违法的重大案件。</w:t>
            </w:r>
          </w:p>
          <w:p>
            <w:pPr>
              <w:pStyle w:val="3"/>
              <w:spacing w:line="560" w:lineRule="exact"/>
              <w:ind w:left="0" w:leftChars="0"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(19)承办市委、市政府交办的其他任务。</w:t>
            </w:r>
          </w:p>
          <w:p>
            <w:pPr>
              <w:ind w:firstLine="700" w:firstLineChars="2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设置情况。局机关内设科室21个。局直事业单位9个，其中副处级公益一类事业单位2个：市文化市场综合行政执法支队和市文物保护中心（岳阳楼文物保护中心等）；正科级全额拨款事业单位7个：市巴陵戏传承研究院、市图书馆、市群众艺术馆、市美术馆、市博物馆（市文物考古研究所）、市广播电视监管中心（市应急广播中心）、岳阳文化艺术会展中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3、人员情况。截止2021年12月31日，市文旅广电局机关行政编制48名，事业编14人，临聘人员2人，在职人员64人。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2021年收入合计为8064.39万元，其中：公共预算财政拨款收入2734.34万元，上年结转资金670.91万元，其他收入4659.14万元。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年度支出合计8059.90万元，其中基本支出1999.88万元，是为保障单位机构正常运转、完成日常工作任务而发生的各项支出，包括用于基本工资、津贴补贴等人员经费。项目支出6060.02万元，主要包含用于公共文化基础设施的建设以及文旅融合建设项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2021年度结余4.49万元。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2021年度局机关基本支出1999.88万元，其中：</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人员经费支出1448.01万元，主要包括基本工资446万元、津贴补贴41.56万元、奖金382.86万元、伙食补助费42.69万元、机关事业单位基本养老保险缴费73.32万元、职工基本医疗保险缴费40.86万元、其他社会保障缴费14.63万元、住房公积金17.85万元、离休费2.08万元、退休费263.9万元、怃恤金54.17万元、生活补助30.47万元、医疗费补助0.96万元、奖励金1.05万元、其他对个人和家庭的补助22.31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公用经费支出551.87万元，主要包括商品和服务支出535.07万元、资本性支出16.8万元。商品和服务支出中“三公”经费支出为15.82万元，比上年增加1.01万元。其中：公务用车运行维护费10.11万元，公务接待费5.71万元，因公出国（境）费用0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（二）项目支出情况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2021年专项资金共计6060.02万元，全部来源于财政拨款，主要用于公共文化基础设施建设以及文旅融合建设项目。其中：2021年财政通过我局支付了巴陵书香创业馆PPP项目经费4484.24万元，已全部下拨。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支出主要用于文化艺术创作、公共示范区创建、监听监看专项等。依据我局机关财务制度，遵行市委市政府规定和财政局有关制度，以保障文化、广电、旅游、文物事业繁荣发展为前提，按照“量入为主，节约使用”的原则，有计划的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专项资金实行专款专用，专账核算。严格执行项目资金批复使用计划和批复内容。</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(三)、固定资产管理情况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2021年12月31日，岳阳市文化旅游广电局固定资产合计</w:t>
            </w:r>
            <w:r>
              <w:rPr>
                <w:rFonts w:ascii="仿宋_GB2312" w:hAnsi="仿宋_GB2312" w:eastAsia="仿宋_GB2312" w:cs="仿宋_GB2312"/>
                <w:bCs/>
                <w:sz w:val="28"/>
                <w:szCs w:val="28"/>
              </w:rPr>
              <w:t>1067.29万元，其中在用固定资产1067.29</w:t>
            </w:r>
            <w:r>
              <w:rPr>
                <w:rFonts w:hint="eastAsia" w:ascii="仿宋_GB2312" w:hAnsi="仿宋_GB2312" w:eastAsia="仿宋_GB2312" w:cs="仿宋_GB2312"/>
                <w:bCs/>
                <w:sz w:val="28"/>
                <w:szCs w:val="28"/>
              </w:rPr>
              <w:t>万元。2021年固定资产共新增21.47万元。资产的购置执行政府电子卖场采购制度，按规定使用国家资金；固定资产报废、调拨、变卖，按规定程序申报、审批。明确落实资产的管理责任，依法管理国有资产。</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三、部门（单位）项目组织实施情况、</w:t>
            </w:r>
          </w:p>
          <w:p>
            <w:pPr>
              <w:pStyle w:val="2"/>
              <w:ind w:firstLine="560" w:firstLineChars="200"/>
              <w:rPr>
                <w:rFonts w:ascii="仿宋_GB2312" w:hAnsi="仿宋_GB2312" w:eastAsia="仿宋_GB2312" w:cs="仿宋_GB2312"/>
                <w:bCs/>
                <w:szCs w:val="28"/>
              </w:rPr>
            </w:pPr>
            <w:r>
              <w:rPr>
                <w:rFonts w:hint="eastAsia" w:ascii="仿宋_GB2312" w:hAnsi="仿宋_GB2312" w:eastAsia="仿宋_GB2312" w:cs="仿宋_GB2312"/>
                <w:bCs/>
                <w:szCs w:val="28"/>
              </w:rPr>
              <w:t>1、一方面依据资金管理办法，由职能处室组织申报或审核，经局党组审议，报财政审批，下达资金；另一方面严格履行政府采购、财政评审等申报审批流程，按照公开申报、部门审核、政府审批、专家评审、结果公示等财政专项资金流程，进行规范管理和审批拨付。</w:t>
            </w:r>
          </w:p>
          <w:p>
            <w:pPr>
              <w:pStyle w:val="2"/>
              <w:ind w:firstLine="560" w:firstLineChars="200"/>
              <w:rPr>
                <w:rFonts w:ascii="仿宋_GB2312" w:hAnsi="仿宋_GB2312" w:eastAsia="仿宋_GB2312" w:cs="仿宋_GB2312"/>
                <w:bCs/>
                <w:szCs w:val="28"/>
              </w:rPr>
            </w:pPr>
            <w:r>
              <w:rPr>
                <w:rFonts w:hint="eastAsia" w:ascii="仿宋_GB2312" w:hAnsi="仿宋_GB2312" w:eastAsia="仿宋_GB2312" w:cs="仿宋_GB2312"/>
                <w:bCs/>
                <w:szCs w:val="28"/>
              </w:rPr>
              <w:t>2、坚持把文化、广电、旅游、文物事业项目建设作为工作的重点，保持项目推动强劲态势。把项目建设作为经济工作的首要任务，集中一切有利资源和要素，有效有力推动了我市文旅、广电、文物事业。</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四、部门（单位）整体支出绩效情况</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产业发展来势强劲。市委市政府高度重视文旅产业发展，将市文化旅游产业链调整为市文体旅游产业链。书记、市长先后主持召开市委常委会、市政府常务会、书记（市长）专题会等专题研究文旅工作。市委常委、宣传部长和分管副市长作为市文旅产业链链长，亲自抓协调、调度和督办。完成申报“</w:t>
            </w:r>
            <w:r>
              <w:rPr>
                <w:rFonts w:ascii="仿宋_GB2312" w:hAnsi="仿宋_GB2312" w:eastAsia="仿宋_GB2312" w:cs="仿宋_GB2312"/>
                <w:bCs/>
                <w:sz w:val="28"/>
                <w:szCs w:val="28"/>
              </w:rPr>
              <w:t>四上文化企业</w:t>
            </w:r>
            <w:r>
              <w:rPr>
                <w:rFonts w:hint="eastAsia" w:ascii="仿宋_GB2312" w:hAnsi="仿宋_GB2312" w:eastAsia="仿宋_GB2312" w:cs="仿宋_GB2312"/>
                <w:bCs/>
                <w:sz w:val="28"/>
                <w:szCs w:val="28"/>
              </w:rPr>
              <w:t>”64家，目前已达512家，连续5年实现大幅增长。全市调度在建文旅项目108个，其中重点调度项目28个。全年签约文旅项目29个，签约资金</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8</w:t>
            </w:r>
            <w:r>
              <w:rPr>
                <w:rFonts w:ascii="仿宋_GB2312" w:hAnsi="仿宋_GB2312" w:eastAsia="仿宋_GB2312" w:cs="仿宋_GB2312"/>
                <w:bCs/>
                <w:sz w:val="28"/>
                <w:szCs w:val="28"/>
              </w:rPr>
              <w:t>7.73</w:t>
            </w:r>
            <w:r>
              <w:rPr>
                <w:rFonts w:hint="eastAsia" w:ascii="仿宋_GB2312" w:hAnsi="仿宋_GB2312" w:eastAsia="仿宋_GB2312" w:cs="仿宋_GB2312"/>
                <w:bCs/>
                <w:sz w:val="28"/>
                <w:szCs w:val="28"/>
              </w:rPr>
              <w:t>亿元。沿江环湖生态旅游廊道、屈子文化园等重点项目进展顺利，“守护好一江碧水”首倡地展陈馆、岳阳港工业遗址公园、洞庭南路历史文化街区等新文旅项目对外开放。湖南岳阳楼·洞庭湖文化旅游度假区正式挂牌，岳阳洞庭湖旅游度假区创建国家级旅游度假区已通过初审。汨罗江旅游度假区获评省级旅游度假区。全市新增3A级旅游景区4个、</w:t>
            </w:r>
            <w:r>
              <w:rPr>
                <w:rFonts w:ascii="仿宋_GB2312" w:hAnsi="仿宋_GB2312" w:eastAsia="仿宋_GB2312" w:cs="仿宋_GB2312"/>
                <w:bCs/>
                <w:sz w:val="28"/>
                <w:szCs w:val="28"/>
              </w:rPr>
              <w:t>四星级旅游</w:t>
            </w:r>
            <w:r>
              <w:rPr>
                <w:rFonts w:hint="eastAsia" w:ascii="仿宋_GB2312" w:hAnsi="仿宋_GB2312" w:eastAsia="仿宋_GB2312" w:cs="仿宋_GB2312"/>
                <w:bCs/>
                <w:sz w:val="28"/>
                <w:szCs w:val="28"/>
              </w:rPr>
              <w:t>酒</w:t>
            </w:r>
            <w:r>
              <w:rPr>
                <w:rFonts w:ascii="仿宋_GB2312" w:hAnsi="仿宋_GB2312" w:eastAsia="仿宋_GB2312" w:cs="仿宋_GB2312"/>
                <w:bCs/>
                <w:sz w:val="28"/>
                <w:szCs w:val="28"/>
              </w:rPr>
              <w:t>店1家</w:t>
            </w:r>
            <w:r>
              <w:rPr>
                <w:rFonts w:hint="eastAsia" w:ascii="仿宋_GB2312" w:hAnsi="仿宋_GB2312" w:eastAsia="仿宋_GB2312" w:cs="仿宋_GB2312"/>
                <w:bCs/>
                <w:sz w:val="28"/>
                <w:szCs w:val="28"/>
              </w:rPr>
              <w:t>、三星级酒店2家，获评省级工业旅游示范点2个、</w:t>
            </w:r>
            <w:r>
              <w:rPr>
                <w:rFonts w:ascii="仿宋_GB2312" w:hAnsi="仿宋_GB2312" w:eastAsia="仿宋_GB2312" w:cs="仿宋_GB2312"/>
                <w:bCs/>
                <w:sz w:val="28"/>
                <w:szCs w:val="28"/>
              </w:rPr>
              <w:t>省五星级乡村旅游区点</w:t>
            </w:r>
            <w:r>
              <w:rPr>
                <w:rFonts w:hint="eastAsia" w:ascii="仿宋_GB2312" w:hAnsi="仿宋_GB2312" w:eastAsia="仿宋_GB2312" w:cs="仿宋_GB2312"/>
                <w:bCs/>
                <w:sz w:val="28"/>
                <w:szCs w:val="28"/>
              </w:rPr>
              <w:t>2个、省四星级乡村旅游区点5个、省级研学旅游基地7个、乡村旅游重点村2个。君山</w:t>
            </w:r>
            <w:r>
              <w:rPr>
                <w:rFonts w:ascii="仿宋_GB2312" w:hAnsi="仿宋_GB2312" w:eastAsia="仿宋_GB2312" w:cs="仿宋_GB2312"/>
                <w:bCs/>
                <w:sz w:val="28"/>
                <w:szCs w:val="28"/>
              </w:rPr>
              <w:t>区荣获</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中国最具特色生态旅游示范县（区）</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称号</w:t>
            </w:r>
            <w:r>
              <w:rPr>
                <w:rFonts w:hint="eastAsia" w:ascii="仿宋_GB2312" w:hAnsi="仿宋_GB2312" w:eastAsia="仿宋_GB2312" w:cs="仿宋_GB2312"/>
                <w:bCs/>
                <w:sz w:val="28"/>
                <w:szCs w:val="28"/>
              </w:rPr>
              <w:t>。岳阳县</w:t>
            </w:r>
            <w:r>
              <w:rPr>
                <w:rFonts w:ascii="仿宋_GB2312" w:hAnsi="仿宋_GB2312" w:eastAsia="仿宋_GB2312" w:cs="仿宋_GB2312"/>
                <w:bCs/>
                <w:sz w:val="28"/>
                <w:szCs w:val="28"/>
              </w:rPr>
              <w:t>大云山景区荣获新华网</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优质康养休闲旅游目的地</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称号</w:t>
            </w:r>
            <w:r>
              <w:rPr>
                <w:rFonts w:hint="eastAsia" w:ascii="仿宋_GB2312" w:hAnsi="仿宋_GB2312" w:eastAsia="仿宋_GB2312" w:cs="仿宋_GB2312"/>
                <w:bCs/>
                <w:sz w:val="28"/>
                <w:szCs w:val="28"/>
              </w:rPr>
              <w:t>。</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公共服务持续提升。贯彻落实《湖南省公共文化服务体系高质量发展五年行动计划》，国家公共文化服务体系示范区创新发展复核已顺利通过省文旅厅验收并上报文旅部。公共文化设施上等级，市美术馆获评全国百佳文化空间奖。第五次全国文化馆评估定级中，我市获评一级馆7个、二级馆3个、三级馆1个。获评省级“最美潇湘文化阵地”6个，评选市级“最美潇湘文化阵地”24个。巴陵戏传承展演中心项目完成前期工作。公共文化活动有影响，围绕建党100周年，全市累计举办“百年颂歌献给党”歌会等群众文化活动436场，近300万人次参与。岳阳楼区开办市民艺术大学，云溪区推进厂港地文化融合，中心城区形成“广场舞蹈天天跳、大型活动周周有、活动主题月月新”的群文活动格局。市图书馆</w:t>
            </w:r>
            <w:r>
              <w:rPr>
                <w:rFonts w:ascii="仿宋_GB2312" w:hAnsi="仿宋_GB2312" w:eastAsia="仿宋_GB2312" w:cs="仿宋_GB2312"/>
                <w:bCs/>
                <w:sz w:val="28"/>
                <w:szCs w:val="28"/>
              </w:rPr>
              <w:t>“悦童年·阅读+”亲子阅读推广</w:t>
            </w:r>
            <w:r>
              <w:rPr>
                <w:rFonts w:hint="eastAsia" w:ascii="仿宋_GB2312" w:hAnsi="仿宋_GB2312" w:eastAsia="仿宋_GB2312" w:cs="仿宋_GB2312"/>
                <w:bCs/>
                <w:sz w:val="28"/>
                <w:szCs w:val="28"/>
              </w:rPr>
              <w:t>、市群众艺术馆“</w:t>
            </w:r>
            <w:r>
              <w:rPr>
                <w:rFonts w:ascii="仿宋_GB2312" w:hAnsi="仿宋_GB2312" w:eastAsia="仿宋_GB2312" w:cs="仿宋_GB2312"/>
                <w:bCs/>
                <w:sz w:val="28"/>
                <w:szCs w:val="28"/>
              </w:rPr>
              <w:t>全民艺术普及培训班</w:t>
            </w:r>
            <w:r>
              <w:rPr>
                <w:rFonts w:hint="eastAsia" w:ascii="仿宋_GB2312" w:hAnsi="仿宋_GB2312" w:eastAsia="仿宋_GB2312" w:cs="仿宋_GB2312"/>
                <w:bCs/>
                <w:sz w:val="28"/>
                <w:szCs w:val="28"/>
              </w:rPr>
              <w:t>”、市美术馆“</w:t>
            </w:r>
            <w:r>
              <w:rPr>
                <w:rFonts w:ascii="仿宋_GB2312" w:hAnsi="仿宋_GB2312" w:eastAsia="仿宋_GB2312" w:cs="仿宋_GB2312"/>
                <w:bCs/>
                <w:sz w:val="28"/>
                <w:szCs w:val="28"/>
              </w:rPr>
              <w:t>带你看展览</w:t>
            </w:r>
            <w:r>
              <w:rPr>
                <w:rFonts w:hint="eastAsia" w:ascii="仿宋_GB2312" w:hAnsi="仿宋_GB2312" w:eastAsia="仿宋_GB2312" w:cs="仿宋_GB2312"/>
                <w:bCs/>
                <w:sz w:val="28"/>
                <w:szCs w:val="28"/>
              </w:rPr>
              <w:t>”等</w:t>
            </w:r>
            <w:r>
              <w:rPr>
                <w:rFonts w:ascii="仿宋_GB2312" w:hAnsi="仿宋_GB2312" w:eastAsia="仿宋_GB2312" w:cs="仿宋_GB2312"/>
                <w:bCs/>
                <w:sz w:val="28"/>
                <w:szCs w:val="28"/>
              </w:rPr>
              <w:t>系列活动</w:t>
            </w:r>
            <w:r>
              <w:rPr>
                <w:rFonts w:hint="eastAsia" w:ascii="仿宋_GB2312" w:hAnsi="仿宋_GB2312" w:eastAsia="仿宋_GB2312" w:cs="仿宋_GB2312"/>
                <w:bCs/>
                <w:sz w:val="28"/>
                <w:szCs w:val="28"/>
              </w:rPr>
              <w:t>深受群众好评。公共文化服务提水平，临湘市白羊田镇被评为“中国民间文化艺术之乡”，全市有4个乡镇被评为“湖南民间文化艺术之乡”。</w:t>
            </w:r>
            <w:r>
              <w:rPr>
                <w:rFonts w:ascii="仿宋_GB2312" w:hAnsi="仿宋_GB2312" w:eastAsia="仿宋_GB2312" w:cs="仿宋_GB2312"/>
                <w:bCs/>
                <w:sz w:val="28"/>
                <w:szCs w:val="28"/>
              </w:rPr>
              <w:t>市县文旅部门联动，克服疫情影响，</w:t>
            </w:r>
            <w:r>
              <w:rPr>
                <w:rFonts w:hint="eastAsia" w:ascii="仿宋_GB2312" w:hAnsi="仿宋_GB2312" w:eastAsia="仿宋_GB2312" w:cs="仿宋_GB2312"/>
                <w:bCs/>
                <w:sz w:val="28"/>
                <w:szCs w:val="28"/>
              </w:rPr>
              <w:t>完成市政府重点民生实事项目“送戏曲进万村、送书画进万家”769场，超额完成任务。岳阳文化艺术会展中心</w:t>
            </w:r>
            <w:r>
              <w:rPr>
                <w:rFonts w:ascii="仿宋_GB2312" w:hAnsi="仿宋_GB2312" w:eastAsia="仿宋_GB2312" w:cs="仿宋_GB2312"/>
                <w:bCs/>
                <w:sz w:val="28"/>
                <w:szCs w:val="28"/>
              </w:rPr>
              <w:t>引进高雅艺术惠民演出15场</w:t>
            </w:r>
            <w:r>
              <w:rPr>
                <w:rFonts w:hint="eastAsia" w:ascii="仿宋_GB2312" w:hAnsi="仿宋_GB2312" w:eastAsia="仿宋_GB2312" w:cs="仿宋_GB2312"/>
                <w:bCs/>
                <w:sz w:val="28"/>
                <w:szCs w:val="28"/>
              </w:rPr>
              <w:t>，并</w:t>
            </w:r>
            <w:r>
              <w:rPr>
                <w:rFonts w:ascii="仿宋_GB2312" w:hAnsi="仿宋_GB2312" w:eastAsia="仿宋_GB2312" w:cs="仿宋_GB2312"/>
                <w:bCs/>
                <w:sz w:val="28"/>
                <w:szCs w:val="28"/>
              </w:rPr>
              <w:t>推出</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儿童亲子剧场</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品牌</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场场爆满，一票难求</w:t>
            </w:r>
            <w:r>
              <w:rPr>
                <w:rFonts w:hint="eastAsia" w:ascii="仿宋_GB2312" w:hAnsi="仿宋_GB2312" w:eastAsia="仿宋_GB2312" w:cs="仿宋_GB2312"/>
                <w:bCs/>
                <w:sz w:val="28"/>
                <w:szCs w:val="28"/>
              </w:rPr>
              <w:t>。</w:t>
            </w:r>
          </w:p>
          <w:p>
            <w:pPr>
              <w:autoSpaceDN w:val="0"/>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（三）文艺创作成果丰硕。著名编剧吴傲君创作的花鼓戏《蔡坤山耕田》获第24届曹禺剧本奖。组织</w:t>
            </w:r>
            <w:r>
              <w:rPr>
                <w:rFonts w:ascii="仿宋_GB2312" w:hAnsi="仿宋_GB2312" w:eastAsia="仿宋_GB2312" w:cs="仿宋_GB2312"/>
                <w:bCs/>
                <w:sz w:val="28"/>
                <w:szCs w:val="28"/>
              </w:rPr>
              <w:t>《风吹稻花香》</w:t>
            </w:r>
            <w:r>
              <w:rPr>
                <w:rFonts w:hint="eastAsia" w:ascii="仿宋_GB2312" w:hAnsi="仿宋_GB2312" w:eastAsia="仿宋_GB2312" w:cs="仿宋_GB2312"/>
                <w:bCs/>
                <w:sz w:val="28"/>
                <w:szCs w:val="28"/>
              </w:rPr>
              <w:t>等一批文艺作品参加省艺术节，</w:t>
            </w:r>
            <w:r>
              <w:rPr>
                <w:rFonts w:ascii="仿宋_GB2312" w:hAnsi="仿宋_GB2312" w:eastAsia="仿宋_GB2312" w:cs="仿宋_GB2312"/>
                <w:bCs/>
                <w:sz w:val="28"/>
                <w:szCs w:val="28"/>
              </w:rPr>
              <w:t>共获各类奖项23个</w:t>
            </w:r>
            <w:r>
              <w:rPr>
                <w:rFonts w:hint="eastAsia" w:ascii="仿宋_GB2312" w:hAnsi="仿宋_GB2312" w:eastAsia="仿宋_GB2312" w:cs="仿宋_GB2312"/>
                <w:bCs/>
                <w:sz w:val="28"/>
                <w:szCs w:val="28"/>
              </w:rPr>
              <w:t>，其中金奖13个，特别是“书法美术摄影”类我市获得2个“齐白石奖”和1个“优秀摄影奖”，居全省前列。屈原管理区新创花鼓戏</w:t>
            </w:r>
            <w:r>
              <w:rPr>
                <w:rFonts w:ascii="仿宋_GB2312" w:hAnsi="仿宋_GB2312" w:eastAsia="仿宋_GB2312" w:cs="仿宋_GB2312"/>
                <w:bCs/>
                <w:sz w:val="28"/>
                <w:szCs w:val="28"/>
              </w:rPr>
              <w:t>《美政今朝》参加</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欢乐潇湘</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文艺院团竞演省决赛</w:t>
            </w:r>
            <w:r>
              <w:rPr>
                <w:rFonts w:hint="eastAsia" w:ascii="仿宋_GB2312" w:hAnsi="仿宋_GB2312" w:eastAsia="仿宋_GB2312" w:cs="仿宋_GB2312"/>
                <w:bCs/>
                <w:sz w:val="28"/>
                <w:szCs w:val="28"/>
              </w:rPr>
              <w:t>。汨罗市</w:t>
            </w:r>
            <w:r>
              <w:rPr>
                <w:rFonts w:ascii="仿宋_GB2312" w:hAnsi="仿宋_GB2312" w:eastAsia="仿宋_GB2312" w:cs="仿宋_GB2312"/>
                <w:bCs/>
                <w:sz w:val="28"/>
                <w:szCs w:val="28"/>
              </w:rPr>
              <w:t>推出《革命伴侣》等多个花鼓戏原创佳作</w:t>
            </w:r>
            <w:r>
              <w:rPr>
                <w:rFonts w:hint="eastAsia" w:ascii="仿宋_GB2312" w:hAnsi="仿宋_GB2312" w:eastAsia="仿宋_GB2312" w:cs="仿宋_GB2312"/>
                <w:bCs/>
                <w:sz w:val="28"/>
                <w:szCs w:val="28"/>
              </w:rPr>
              <w:t>。临湘市青少年活动中心</w:t>
            </w:r>
            <w:r>
              <w:rPr>
                <w:rFonts w:ascii="仿宋_GB2312" w:hAnsi="仿宋_GB2312" w:eastAsia="仿宋_GB2312" w:cs="仿宋_GB2312"/>
                <w:bCs/>
                <w:sz w:val="28"/>
                <w:szCs w:val="28"/>
              </w:rPr>
              <w:t>创作</w:t>
            </w:r>
            <w:r>
              <w:rPr>
                <w:rFonts w:hint="eastAsia" w:ascii="仿宋_GB2312" w:hAnsi="仿宋_GB2312" w:eastAsia="仿宋_GB2312" w:cs="仿宋_GB2312"/>
                <w:bCs/>
                <w:sz w:val="28"/>
                <w:szCs w:val="28"/>
              </w:rPr>
              <w:t>的</w:t>
            </w:r>
            <w:r>
              <w:rPr>
                <w:rFonts w:ascii="仿宋_GB2312" w:hAnsi="仿宋_GB2312" w:eastAsia="仿宋_GB2312" w:cs="仿宋_GB2312"/>
                <w:bCs/>
                <w:sz w:val="28"/>
                <w:szCs w:val="28"/>
              </w:rPr>
              <w:t>新编历史剧《周瑜打黄盖》进京比赛，</w:t>
            </w:r>
            <w:r>
              <w:rPr>
                <w:rFonts w:hint="eastAsia" w:ascii="仿宋_GB2312" w:hAnsi="仿宋_GB2312" w:eastAsia="仿宋_GB2312" w:cs="仿宋_GB2312"/>
                <w:bCs/>
                <w:sz w:val="28"/>
                <w:szCs w:val="28"/>
              </w:rPr>
              <w:t>该中心被授予</w:t>
            </w:r>
            <w:r>
              <w:rPr>
                <w:rFonts w:ascii="仿宋_GB2312" w:hAnsi="仿宋_GB2312" w:eastAsia="仿宋_GB2312" w:cs="仿宋_GB2312"/>
                <w:bCs/>
                <w:sz w:val="28"/>
                <w:szCs w:val="28"/>
              </w:rPr>
              <w:t>中国教育电视台</w:t>
            </w:r>
            <w:r>
              <w:rPr>
                <w:rFonts w:hint="eastAsia" w:ascii="仿宋_GB2312" w:hAnsi="仿宋_GB2312" w:eastAsia="仿宋_GB2312" w:cs="仿宋_GB2312"/>
                <w:bCs/>
                <w:sz w:val="28"/>
                <w:szCs w:val="28"/>
              </w:rPr>
              <w:t>美育示范基地。市巴陵戏传承研究院复排大型传统巴陵戏《审刺客》并公演。岳阳县、临湘市等县市区也</w:t>
            </w:r>
            <w:r>
              <w:rPr>
                <w:rFonts w:ascii="仿宋_GB2312" w:hAnsi="仿宋_GB2312" w:eastAsia="仿宋_GB2312" w:cs="仿宋_GB2312"/>
                <w:bCs/>
                <w:sz w:val="28"/>
                <w:szCs w:val="28"/>
              </w:rPr>
              <w:t>复排</w:t>
            </w:r>
            <w:r>
              <w:rPr>
                <w:rFonts w:hint="eastAsia" w:ascii="仿宋_GB2312" w:hAnsi="仿宋_GB2312" w:eastAsia="仿宋_GB2312" w:cs="仿宋_GB2312"/>
                <w:bCs/>
                <w:sz w:val="28"/>
                <w:szCs w:val="28"/>
              </w:rPr>
              <w:t>了一批</w:t>
            </w:r>
            <w:r>
              <w:rPr>
                <w:rFonts w:ascii="仿宋_GB2312" w:hAnsi="仿宋_GB2312" w:eastAsia="仿宋_GB2312" w:cs="仿宋_GB2312"/>
                <w:bCs/>
                <w:sz w:val="28"/>
                <w:szCs w:val="28"/>
              </w:rPr>
              <w:t>传统</w:t>
            </w:r>
            <w:r>
              <w:rPr>
                <w:rFonts w:hint="eastAsia" w:ascii="仿宋_GB2312" w:hAnsi="仿宋_GB2312" w:eastAsia="仿宋_GB2312" w:cs="仿宋_GB2312"/>
                <w:bCs/>
                <w:sz w:val="28"/>
                <w:szCs w:val="28"/>
              </w:rPr>
              <w:t>剧目，参与一元剧场、送戏下乡等惠民演出，古老剧种焕发崭新活力。</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（四）营销推介效果显著。岳阳楼·洞庭湖旅游度假区旅游、</w:t>
            </w:r>
            <w:r>
              <w:rPr>
                <w:rFonts w:ascii="仿宋_GB2312" w:hAnsi="仿宋_GB2312" w:eastAsia="仿宋_GB2312" w:cs="仿宋_GB2312"/>
                <w:bCs/>
                <w:sz w:val="28"/>
                <w:szCs w:val="28"/>
              </w:rPr>
              <w:t>张谷英镇特色小镇建设</w:t>
            </w:r>
            <w:r>
              <w:rPr>
                <w:rFonts w:hint="eastAsia" w:ascii="仿宋_GB2312" w:hAnsi="仿宋_GB2312" w:eastAsia="仿宋_GB2312" w:cs="仿宋_GB2312"/>
                <w:bCs/>
                <w:sz w:val="28"/>
                <w:szCs w:val="28"/>
              </w:rPr>
              <w:t>等，多次被</w:t>
            </w:r>
            <w:r>
              <w:rPr>
                <w:rFonts w:ascii="仿宋_GB2312" w:hAnsi="仿宋_GB2312" w:eastAsia="仿宋_GB2312" w:cs="仿宋_GB2312"/>
                <w:bCs/>
                <w:sz w:val="28"/>
                <w:szCs w:val="28"/>
              </w:rPr>
              <w:t>中央电视台专题报道</w:t>
            </w:r>
            <w:r>
              <w:rPr>
                <w:rFonts w:hint="eastAsia" w:ascii="仿宋_GB2312" w:hAnsi="仿宋_GB2312" w:eastAsia="仿宋_GB2312" w:cs="仿宋_GB2312"/>
                <w:bCs/>
                <w:sz w:val="28"/>
                <w:szCs w:val="28"/>
              </w:rPr>
              <w:t>。举办武汉、广州推介会和“天下洞庭”旅游踩线活动，推出4条精品旅游线路。实现旅游高铁和豪华游轮常态化停靠岳阳，2021年到岳旅游专列11趟，长江游轮航次32个。举办纪念《岳阳楼记》诞生975周年活动，设立“岳阳楼日”，</w:t>
            </w:r>
            <w:r>
              <w:rPr>
                <w:rFonts w:ascii="仿宋_GB2312" w:hAnsi="仿宋_GB2312" w:eastAsia="仿宋_GB2312" w:cs="仿宋_GB2312"/>
                <w:bCs/>
                <w:sz w:val="28"/>
                <w:szCs w:val="28"/>
              </w:rPr>
              <w:t>六万余名市民</w:t>
            </w:r>
            <w:r>
              <w:rPr>
                <w:rFonts w:hint="eastAsia" w:ascii="仿宋_GB2312" w:hAnsi="仿宋_GB2312" w:eastAsia="仿宋_GB2312" w:cs="仿宋_GB2312"/>
                <w:bCs/>
                <w:sz w:val="28"/>
                <w:szCs w:val="28"/>
              </w:rPr>
              <w:t>游客</w:t>
            </w:r>
            <w:r>
              <w:rPr>
                <w:rFonts w:ascii="仿宋_GB2312" w:hAnsi="仿宋_GB2312" w:eastAsia="仿宋_GB2312" w:cs="仿宋_GB2312"/>
                <w:bCs/>
                <w:sz w:val="28"/>
                <w:szCs w:val="28"/>
              </w:rPr>
              <w:t>顶风冒雨、现场观看，过亿网民热搜阅读、评论点赞</w:t>
            </w:r>
            <w:r>
              <w:rPr>
                <w:rFonts w:hint="eastAsia" w:ascii="仿宋_GB2312" w:hAnsi="仿宋_GB2312" w:eastAsia="仿宋_GB2312" w:cs="仿宋_GB2312"/>
                <w:bCs/>
                <w:sz w:val="28"/>
                <w:szCs w:val="28"/>
              </w:rPr>
              <w:t>，迅速形成新闻热点，引发全国热议。2021年岳阳国际旅游节共举办4大主题11个子活动，新造网红打卡点36个，网络传播流量总计达7.1亿次，来岳旅游团队数量增长31%。举办首届“巴陵有礼”文化旅游商品大赛，推出了一批优秀文创产品，促进了文旅消费。推进长岳协同发展，与张家界市签约联袂打造山水文旅盛宴，出台对长沙和张家界游客的优惠政策。来自岳阳、长沙、张家界等二十市的旅游行业代表140人，共同签约成立旅游行业联盟，推动三省文化旅游区域合作。</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五）文化遗产活态传承。新增省级文物保护单位9处，公布第三批市级文物保护单位20处。洞庭南路、陆城南北正街两个街区入选湖南省历史文化街区。新增国家级非遗项目2项，省级非遗项目7项，评选优秀市级非遗传承人10人。完成</w:t>
            </w:r>
            <w:r>
              <w:rPr>
                <w:rFonts w:ascii="仿宋_GB2312" w:hAnsi="仿宋_GB2312" w:eastAsia="仿宋_GB2312" w:cs="仿宋_GB2312"/>
                <w:bCs/>
                <w:sz w:val="28"/>
                <w:szCs w:val="28"/>
              </w:rPr>
              <w:t>32个建设项目（批次）征地范围内文物调查勘探工作，累计勘探面积490多万平方米</w:t>
            </w:r>
            <w:r>
              <w:rPr>
                <w:rFonts w:hint="eastAsia" w:ascii="仿宋_GB2312" w:hAnsi="仿宋_GB2312" w:eastAsia="仿宋_GB2312" w:cs="仿宋_GB2312"/>
                <w:bCs/>
                <w:sz w:val="28"/>
                <w:szCs w:val="28"/>
              </w:rPr>
              <w:t>。华容县</w:t>
            </w:r>
            <w:r>
              <w:rPr>
                <w:rFonts w:ascii="仿宋_GB2312" w:hAnsi="仿宋_GB2312" w:eastAsia="仿宋_GB2312" w:cs="仿宋_GB2312"/>
                <w:bCs/>
                <w:sz w:val="28"/>
                <w:szCs w:val="28"/>
              </w:rPr>
              <w:t>七星墩遗址入围</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2020全国十大考古新发现</w:t>
            </w:r>
            <w:r>
              <w:rPr>
                <w:rFonts w:hint="eastAsia" w:ascii="仿宋_GB2312" w:hAnsi="仿宋_GB2312" w:eastAsia="仿宋_GB2312" w:cs="仿宋_GB2312"/>
                <w:bCs/>
                <w:sz w:val="28"/>
                <w:szCs w:val="28"/>
              </w:rPr>
              <w:t>”，罗城遗址获评“湖南省十大考古发现”</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4件（套）文物获评湖南省“百件出土文物精品”，商青铜鱼纹罍更是唯一一件超20万票的“人气王”文物。建成</w:t>
            </w:r>
            <w:r>
              <w:rPr>
                <w:rFonts w:ascii="仿宋_GB2312" w:hAnsi="仿宋_GB2312" w:eastAsia="仿宋_GB2312" w:cs="仿宋_GB2312"/>
                <w:bCs/>
                <w:sz w:val="28"/>
                <w:szCs w:val="28"/>
              </w:rPr>
              <w:t>南湖新区茶博城和岳阳博物馆2个流动非遗馆</w:t>
            </w:r>
            <w:r>
              <w:rPr>
                <w:rFonts w:hint="eastAsia" w:ascii="仿宋_GB2312" w:hAnsi="仿宋_GB2312" w:eastAsia="仿宋_GB2312" w:cs="仿宋_GB2312"/>
                <w:bCs/>
                <w:sz w:val="28"/>
                <w:szCs w:val="28"/>
              </w:rPr>
              <w:t>。长乐抬阁故事会入选文旅部非遗过大年“视频直播家乡年”活动，</w:t>
            </w:r>
            <w:r>
              <w:rPr>
                <w:rFonts w:ascii="仿宋_GB2312" w:hAnsi="仿宋_GB2312" w:eastAsia="仿宋_GB2312" w:cs="仿宋_GB2312"/>
                <w:bCs/>
                <w:sz w:val="28"/>
                <w:szCs w:val="28"/>
              </w:rPr>
              <w:t>陈范兴入选国家级非遗代表性传承人记录工程</w:t>
            </w:r>
            <w:r>
              <w:rPr>
                <w:rFonts w:hint="eastAsia" w:ascii="仿宋_GB2312" w:hAnsi="仿宋_GB2312" w:eastAsia="仿宋_GB2312" w:cs="仿宋_GB2312"/>
                <w:bCs/>
                <w:sz w:val="28"/>
                <w:szCs w:val="28"/>
              </w:rPr>
              <w:t>。编辑出版《岳阳市非物质文化遗产丛书》6册、《巴陵戏系列丛书》2册，完成《典籍里的岳阳》初稿编辑。</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（六）文旅市场平稳有序。</w:t>
            </w:r>
            <w:r>
              <w:rPr>
                <w:rFonts w:ascii="仿宋_GB2312" w:hAnsi="仿宋_GB2312" w:eastAsia="仿宋_GB2312" w:cs="仿宋_GB2312"/>
                <w:bCs/>
                <w:sz w:val="28"/>
                <w:szCs w:val="28"/>
              </w:rPr>
              <w:t>推进“放管服”改革，梳理</w:t>
            </w:r>
            <w:r>
              <w:rPr>
                <w:rFonts w:hint="eastAsia" w:ascii="仿宋_GB2312" w:hAnsi="仿宋_GB2312" w:eastAsia="仿宋_GB2312" w:cs="仿宋_GB2312"/>
                <w:bCs/>
                <w:sz w:val="28"/>
                <w:szCs w:val="28"/>
              </w:rPr>
              <w:t>简化</w:t>
            </w:r>
            <w:r>
              <w:rPr>
                <w:rFonts w:ascii="仿宋_GB2312" w:hAnsi="仿宋_GB2312" w:eastAsia="仿宋_GB2312" w:cs="仿宋_GB2312"/>
                <w:bCs/>
                <w:sz w:val="28"/>
                <w:szCs w:val="28"/>
              </w:rPr>
              <w:t>42项办事事项</w:t>
            </w:r>
            <w:r>
              <w:rPr>
                <w:rFonts w:hint="eastAsia" w:ascii="仿宋_GB2312" w:hAnsi="仿宋_GB2312" w:eastAsia="仿宋_GB2312" w:cs="仿宋_GB2312"/>
                <w:bCs/>
                <w:sz w:val="28"/>
                <w:szCs w:val="28"/>
              </w:rPr>
              <w:t>。我局参与的包容普惠创新指标在全省营商环境评价中比前一年提升5个名次，位列全省第三。以“秋风”“净网”“清源”等五大专项行动为抓手，结合开展打击黑导游、打击侵权盗版、校园周边整治等专项检查，进一步规范市场秩序，净化市场环境，确保文旅广电行业意识形态主阵地不失守。市文化市场综合行政执法支队和临湘市执法大队荣获全省文化市场综合执法先进单位，市文化市场综合行政执法支队</w:t>
            </w:r>
            <w:r>
              <w:rPr>
                <w:rFonts w:ascii="仿宋_GB2312" w:hAnsi="仿宋_GB2312" w:eastAsia="仿宋_GB2312" w:cs="仿宋_GB2312"/>
                <w:bCs/>
                <w:sz w:val="28"/>
                <w:szCs w:val="28"/>
              </w:rPr>
              <w:t>获评2020-2021年度全省文化市场综合执法重大案件办案</w:t>
            </w:r>
            <w:r>
              <w:rPr>
                <w:rFonts w:hint="eastAsia" w:ascii="仿宋_GB2312" w:hAnsi="仿宋_GB2312" w:eastAsia="仿宋_GB2312" w:cs="仿宋_GB2312"/>
                <w:bCs/>
                <w:sz w:val="28"/>
                <w:szCs w:val="28"/>
              </w:rPr>
              <w:t>先进</w:t>
            </w:r>
            <w:r>
              <w:rPr>
                <w:rFonts w:ascii="仿宋_GB2312" w:hAnsi="仿宋_GB2312" w:eastAsia="仿宋_GB2312" w:cs="仿宋_GB2312"/>
                <w:bCs/>
                <w:sz w:val="28"/>
                <w:szCs w:val="28"/>
              </w:rPr>
              <w:t>单位</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湖南岳阳3.15网络传播淫秽物品案</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等案件被</w:t>
            </w:r>
            <w:r>
              <w:rPr>
                <w:rFonts w:hint="eastAsia" w:ascii="仿宋_GB2312" w:hAnsi="仿宋_GB2312" w:eastAsia="仿宋_GB2312" w:cs="仿宋_GB2312"/>
                <w:bCs/>
                <w:sz w:val="28"/>
                <w:szCs w:val="28"/>
              </w:rPr>
              <w:t>全国全省</w:t>
            </w:r>
            <w:r>
              <w:rPr>
                <w:rFonts w:ascii="仿宋_GB2312" w:hAnsi="仿宋_GB2312" w:eastAsia="仿宋_GB2312" w:cs="仿宋_GB2312"/>
                <w:bCs/>
                <w:sz w:val="28"/>
                <w:szCs w:val="28"/>
              </w:rPr>
              <w:t>挂牌督办，</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岳阳丽星酒店管理公司擅自解扰广播电视信号案</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被评为湖南省十大案件。</w:t>
            </w:r>
            <w:r>
              <w:rPr>
                <w:rFonts w:hint="eastAsia" w:ascii="仿宋_GB2312" w:hAnsi="仿宋_GB2312" w:eastAsia="仿宋_GB2312" w:cs="仿宋_GB2312"/>
                <w:bCs/>
                <w:sz w:val="28"/>
                <w:szCs w:val="28"/>
              </w:rPr>
              <w:t>湘阴县</w:t>
            </w:r>
            <w:r>
              <w:rPr>
                <w:rFonts w:ascii="仿宋_GB2312" w:hAnsi="仿宋_GB2312" w:eastAsia="仿宋_GB2312" w:cs="仿宋_GB2312"/>
                <w:bCs/>
                <w:sz w:val="28"/>
                <w:szCs w:val="28"/>
              </w:rPr>
              <w:t>《魔兽世界》游戏私服网络侵权运营</w:t>
            </w:r>
            <w:r>
              <w:rPr>
                <w:rFonts w:hint="eastAsia" w:ascii="仿宋_GB2312" w:hAnsi="仿宋_GB2312" w:eastAsia="仿宋_GB2312" w:cs="仿宋_GB2312"/>
                <w:bCs/>
                <w:sz w:val="28"/>
                <w:szCs w:val="28"/>
              </w:rPr>
              <w:t>案，</w:t>
            </w:r>
            <w:r>
              <w:rPr>
                <w:rFonts w:ascii="仿宋_GB2312" w:hAnsi="仿宋_GB2312" w:eastAsia="仿宋_GB2312" w:cs="仿宋_GB2312"/>
                <w:bCs/>
                <w:sz w:val="28"/>
                <w:szCs w:val="28"/>
              </w:rPr>
              <w:t>刑拘12人，涉案资金9000余万元，成功打掉5个私服团伙。</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（七）广播电视持续发展。</w:t>
            </w:r>
            <w:r>
              <w:rPr>
                <w:rFonts w:ascii="仿宋_GB2312" w:hAnsi="仿宋_GB2312" w:eastAsia="仿宋_GB2312" w:cs="仿宋_GB2312"/>
                <w:bCs/>
                <w:sz w:val="28"/>
                <w:szCs w:val="28"/>
              </w:rPr>
              <w:t>完成融媒体中心建设，将传统媒体和新媒体深度融合</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形成手机APP、微信公众号、微博、抖音等全媒体矩阵。</w:t>
            </w:r>
            <w:r>
              <w:rPr>
                <w:rFonts w:hint="eastAsia" w:ascii="仿宋_GB2312" w:hAnsi="仿宋_GB2312" w:eastAsia="仿宋_GB2312" w:cs="仿宋_GB2312"/>
                <w:bCs/>
                <w:sz w:val="28"/>
                <w:szCs w:val="28"/>
              </w:rPr>
              <w:t>坚持正确舆论导向，围绕市委市政府中心工作，全面深入宣传报道，多渠道推送提升影响力。</w:t>
            </w:r>
            <w:r>
              <w:rPr>
                <w:rFonts w:ascii="仿宋_GB2312" w:hAnsi="仿宋_GB2312" w:eastAsia="仿宋_GB2312" w:cs="仿宋_GB2312"/>
                <w:bCs/>
                <w:sz w:val="28"/>
                <w:szCs w:val="28"/>
              </w:rPr>
              <w:t>确保建党100周年广播电视和网络视听安全</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全市安全播出态势良好。</w:t>
            </w:r>
            <w:r>
              <w:rPr>
                <w:rFonts w:hint="eastAsia" w:ascii="仿宋_GB2312" w:hAnsi="仿宋_GB2312" w:eastAsia="仿宋_GB2312" w:cs="仿宋_GB2312"/>
                <w:bCs/>
                <w:sz w:val="28"/>
                <w:szCs w:val="28"/>
              </w:rPr>
              <w:t>确保广电安全底线，</w:t>
            </w:r>
            <w:r>
              <w:rPr>
                <w:rFonts w:ascii="仿宋_GB2312" w:hAnsi="仿宋_GB2312" w:eastAsia="仿宋_GB2312" w:cs="仿宋_GB2312"/>
                <w:bCs/>
                <w:sz w:val="28"/>
                <w:szCs w:val="28"/>
              </w:rPr>
              <w:t>全市共开展</w:t>
            </w:r>
            <w:r>
              <w:rPr>
                <w:rFonts w:hint="eastAsia" w:ascii="仿宋_GB2312" w:hAnsi="仿宋_GB2312" w:eastAsia="仿宋_GB2312" w:cs="仿宋_GB2312"/>
                <w:bCs/>
                <w:sz w:val="28"/>
                <w:szCs w:val="28"/>
              </w:rPr>
              <w:t>非法</w:t>
            </w:r>
            <w:r>
              <w:rPr>
                <w:rFonts w:ascii="仿宋_GB2312" w:hAnsi="仿宋_GB2312" w:eastAsia="仿宋_GB2312" w:cs="仿宋_GB2312"/>
                <w:bCs/>
                <w:sz w:val="28"/>
                <w:szCs w:val="28"/>
              </w:rPr>
              <w:t>卫星电视地面接收设施联合执法行动73次，专项整治行动45次</w:t>
            </w:r>
            <w:r>
              <w:rPr>
                <w:rFonts w:hint="eastAsia" w:ascii="仿宋_GB2312" w:hAnsi="仿宋_GB2312" w:eastAsia="仿宋_GB2312" w:cs="仿宋_GB2312"/>
                <w:bCs/>
                <w:sz w:val="28"/>
                <w:szCs w:val="28"/>
              </w:rPr>
              <w:t>。完成省重点民生实事广电5G全覆盖工程，共完成投资7752万元，建设基站646个。市广播电视监管中心加挂市应急广播调控中心牌子，制订了岳阳市应急广播建设方案。</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八）自身建设不断优化。启动深化事业单位改革试点工作，其中我局涉改单位6个。目前，整合组建的市文物保护中心（岳阳楼文物保护中心）和市巴陵戏传承研究院正式挂牌运行。在抓好党建日常工作的基础上，全面扎实推动党史学习教育活动，我局荣获全市“百舸争流  千帆竞发”百年千题党史知识电视竞赛活动冠军。抓好党风廉政建设“两个责任”的落实，完成市委巡察反馈问题整改，持续推进风险防控机制建设，筑牢反腐拒腐防线。加强人才培养使用，共选拔任用干部12名，招录优秀人才13名，</w:t>
            </w:r>
            <w:r>
              <w:rPr>
                <w:rFonts w:ascii="仿宋_GB2312" w:hAnsi="仿宋_GB2312" w:eastAsia="仿宋_GB2312" w:cs="仿宋_GB2312"/>
                <w:bCs/>
                <w:sz w:val="28"/>
                <w:szCs w:val="28"/>
              </w:rPr>
              <w:t>落实</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巴陵人才新政20条</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，共评选</w:t>
            </w:r>
            <w:r>
              <w:rPr>
                <w:rFonts w:hint="eastAsia" w:ascii="仿宋_GB2312" w:hAnsi="仿宋_GB2312" w:eastAsia="仿宋_GB2312" w:cs="仿宋_GB2312"/>
                <w:bCs/>
                <w:sz w:val="28"/>
                <w:szCs w:val="28"/>
              </w:rPr>
              <w:t>全</w:t>
            </w:r>
            <w:r>
              <w:rPr>
                <w:rFonts w:ascii="仿宋_GB2312" w:hAnsi="仿宋_GB2312" w:eastAsia="仿宋_GB2312" w:cs="仿宋_GB2312"/>
                <w:bCs/>
                <w:sz w:val="28"/>
                <w:szCs w:val="28"/>
              </w:rPr>
              <w:t>市文旅发展优秀人才</w:t>
            </w:r>
            <w:r>
              <w:rPr>
                <w:rFonts w:hint="eastAsia" w:ascii="仿宋_GB2312" w:hAnsi="仿宋_GB2312" w:eastAsia="仿宋_GB2312" w:cs="仿宋_GB2312"/>
                <w:bCs/>
                <w:sz w:val="28"/>
                <w:szCs w:val="28"/>
              </w:rPr>
              <w:t>10名</w:t>
            </w:r>
            <w:r>
              <w:rPr>
                <w:rFonts w:ascii="仿宋_GB2312" w:hAnsi="仿宋_GB2312" w:eastAsia="仿宋_GB2312" w:cs="仿宋_GB2312"/>
                <w:bCs/>
                <w:sz w:val="28"/>
                <w:szCs w:val="28"/>
              </w:rPr>
              <w:t>。更新完善市文旅产业人才池，</w:t>
            </w:r>
            <w:r>
              <w:rPr>
                <w:rFonts w:hint="eastAsia" w:ascii="仿宋_GB2312" w:hAnsi="仿宋_GB2312" w:eastAsia="仿宋_GB2312" w:cs="仿宋_GB2312"/>
                <w:bCs/>
                <w:sz w:val="28"/>
                <w:szCs w:val="28"/>
              </w:rPr>
              <w:t>录入</w:t>
            </w:r>
            <w:r>
              <w:rPr>
                <w:rFonts w:ascii="仿宋_GB2312" w:hAnsi="仿宋_GB2312" w:eastAsia="仿宋_GB2312" w:cs="仿宋_GB2312"/>
                <w:bCs/>
                <w:sz w:val="28"/>
                <w:szCs w:val="28"/>
              </w:rPr>
              <w:t>142名专家。与湖南理工学院建立旅游管理硕士专业联合培养基地</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与湖南民院、湘北女校建立链</w:t>
            </w:r>
            <w:r>
              <w:rPr>
                <w:rFonts w:hint="eastAsia" w:ascii="仿宋_GB2312" w:hAnsi="仿宋_GB2312" w:eastAsia="仿宋_GB2312" w:cs="仿宋_GB2312"/>
                <w:bCs/>
                <w:sz w:val="28"/>
                <w:szCs w:val="28"/>
              </w:rPr>
              <w:t>（文旅产业链）</w:t>
            </w:r>
            <w:r>
              <w:rPr>
                <w:rFonts w:ascii="仿宋_GB2312" w:hAnsi="仿宋_GB2312" w:eastAsia="仿宋_GB2312" w:cs="仿宋_GB2312"/>
                <w:bCs/>
                <w:sz w:val="28"/>
                <w:szCs w:val="28"/>
              </w:rPr>
              <w:t>校合作</w:t>
            </w:r>
            <w:r>
              <w:rPr>
                <w:rFonts w:hint="eastAsia" w:ascii="仿宋_GB2312" w:hAnsi="仿宋_GB2312" w:eastAsia="仿宋_GB2312" w:cs="仿宋_GB2312"/>
                <w:bCs/>
                <w:sz w:val="28"/>
                <w:szCs w:val="28"/>
              </w:rPr>
              <w:t>基地</w:t>
            </w:r>
            <w:r>
              <w:rPr>
                <w:rFonts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六、存在的问题及原因分析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经费投入不足，基础设施薄弱。国家要求市、县建立的很多专项经费基本上因财力问题或其他原因而落实不了，而市财政直接投入乡镇的文化事业经费微乎其微。文化建设仍存在不少困难。</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七、改进措施和有关建议</w:t>
            </w:r>
          </w:p>
          <w:p>
            <w:pPr>
              <w:spacing w:line="60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进一步加大保障投入，形成国家、集体和个体共办文化的新格局，财政要将文化建设经费列入财政预算，每年用一定比例的资金用于文化基础设施设备建设和文体活动补助。</w:t>
            </w:r>
          </w:p>
          <w:p>
            <w:pPr>
              <w:spacing w:line="600" w:lineRule="exact"/>
              <w:ind w:firstLine="560" w:firstLineChars="200"/>
              <w:rPr>
                <w:rFonts w:ascii="仿宋_GB2312" w:hAnsi="仿宋_GB2312" w:eastAsia="仿宋_GB2312" w:cs="仿宋_GB2312"/>
                <w:bCs/>
                <w:sz w:val="28"/>
                <w:szCs w:val="28"/>
              </w:rPr>
            </w:pPr>
          </w:p>
          <w:p>
            <w:pPr>
              <w:spacing w:line="600" w:lineRule="exact"/>
              <w:ind w:firstLine="560" w:firstLineChars="200"/>
              <w:rPr>
                <w:rFonts w:ascii="仿宋_GB2312" w:hAnsi="仿宋_GB2312" w:eastAsia="仿宋_GB2312" w:cs="仿宋_GB2312"/>
                <w:bCs/>
                <w:sz w:val="28"/>
                <w:szCs w:val="28"/>
              </w:rPr>
            </w:pPr>
          </w:p>
          <w:p>
            <w:pPr>
              <w:spacing w:line="600" w:lineRule="exact"/>
              <w:ind w:firstLine="560" w:firstLineChars="200"/>
              <w:rPr>
                <w:rFonts w:ascii="仿宋_GB2312" w:hAnsi="仿宋_GB2312" w:eastAsia="仿宋_GB2312" w:cs="仿宋_GB2312"/>
                <w:bCs/>
                <w:sz w:val="28"/>
                <w:szCs w:val="28"/>
              </w:rPr>
            </w:pPr>
          </w:p>
          <w:p>
            <w:pPr>
              <w:spacing w:line="600" w:lineRule="exact"/>
              <w:ind w:firstLine="560" w:firstLineChars="200"/>
              <w:rPr>
                <w:rFonts w:ascii="仿宋_GB2312" w:hAnsi="仿宋_GB2312" w:eastAsia="仿宋_GB2312" w:cs="仿宋_GB2312"/>
                <w:bCs/>
                <w:sz w:val="28"/>
                <w:szCs w:val="28"/>
              </w:rPr>
            </w:pPr>
          </w:p>
          <w:p>
            <w:pPr>
              <w:spacing w:line="600" w:lineRule="exact"/>
              <w:rPr>
                <w:rFonts w:ascii="仿宋_GB2312" w:hAnsi="仿宋_GB2312" w:eastAsia="仿宋_GB2312" w:cs="仿宋_GB2312"/>
                <w:bCs/>
                <w:sz w:val="28"/>
                <w:szCs w:val="28"/>
              </w:rPr>
            </w:pPr>
          </w:p>
        </w:tc>
      </w:tr>
    </w:tbl>
    <w:p/>
    <w:p/>
    <w:p/>
    <w:p>
      <w:pPr>
        <w:spacing w:line="240" w:lineRule="atLeas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3-1</w:t>
      </w:r>
    </w:p>
    <w:p>
      <w:pPr>
        <w:spacing w:beforeLines="50" w:afterLines="50" w:line="240" w:lineRule="atLeast"/>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比上年增加1.01万元</w:t>
            </w: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9894" w:type="dxa"/>
        <w:jc w:val="center"/>
        <w:tblLayout w:type="fixed"/>
        <w:tblCellMar>
          <w:top w:w="0" w:type="dxa"/>
          <w:left w:w="108" w:type="dxa"/>
          <w:bottom w:w="0" w:type="dxa"/>
          <w:right w:w="108" w:type="dxa"/>
        </w:tblCellMar>
      </w:tblPr>
      <w:tblGrid>
        <w:gridCol w:w="976"/>
        <w:gridCol w:w="939"/>
        <w:gridCol w:w="1573"/>
        <w:gridCol w:w="3987"/>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5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398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57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398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3987"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公共服务体系</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完成市政府重点民生实事项目“送戏曲进万村、送书画进万家”769场，惠民演出15场。全市累计举办群众文化活动436场，近300万人次参与。</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文旅产业项目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发展</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完成申报“四上文化企业”64家，全市调度在建文旅项目108个，其中重点调度项目28个。全年签约文旅项目29个，签约资金287.73亿元。</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文物保护和文化遗产保护传承</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新增省级文物保护单位9处，公布第三批市级文物保护单位20处。新增国家级非遗项目2项，省级非遗项目7项，评选优秀市级非遗传承人10人。</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持续发展</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广播电视</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全市共开展非法卫星电视地面接收设施联合执法行动73次，专项整治行动45次。完成省重点民生实事广电5G全覆盖工程，共完成投资7752万元，建设基站646个</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营销推介，文化和旅游融合发展</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2021年岳阳国际旅游节共举办4大主题11个子活动，新造网红打卡点36个，网络传播流量总计达7.1亿次，来岳旅游团队数量增长31%。</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强化行业监管，确保文旅市场平稳有序</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以“秋风”“净网”“清源”等五大专项行动为抓手，结合开展打击黑导游、打击侵权盗版、校园周边整治等专项检查，进一步规范市场秩序，净化市场环境，确保文旅广电行业意识形态主阵地不失守。</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优化自身建设</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加强人才培养使用，共选拔任用干部12名，招录优秀人才13名，落实“巴陵人才新政20条”，共评选全市文旅发展优秀人才10名。更新完善市文旅产业人才池，录入142名专家。</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3987" w:type="dxa"/>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2021年全市文化产业总产值654.51亿元，同比增长9.06%。旅游收入449.15亿元，同比增长7.48%。</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7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3987" w:type="dxa"/>
            <w:tcBorders>
              <w:top w:val="nil"/>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宋体" w:eastAsia="仿宋_GB2312" w:cs="宋体"/>
                <w:kern w:val="0"/>
                <w:sz w:val="18"/>
                <w:szCs w:val="18"/>
              </w:rPr>
              <w:t>丰富人民群众精神文化生活</w:t>
            </w: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3987" w:type="dxa"/>
            <w:tcBorders>
              <w:top w:val="nil"/>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eastAsia="仿宋_GB2312" w:cs="仿宋_GB2312"/>
                <w:color w:val="000000"/>
                <w:sz w:val="24"/>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68"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3987"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7"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57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398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9</w:t>
            </w:r>
            <w:r>
              <w:rPr>
                <w:rFonts w:hint="eastAsia" w:ascii="仿宋_GB2312" w:hAnsi="宋体" w:eastAsia="仿宋_GB2312" w:cs="宋体"/>
                <w:b/>
                <w:bCs/>
                <w:kern w:val="0"/>
                <w:sz w:val="18"/>
                <w:szCs w:val="18"/>
              </w:rPr>
              <w:t>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szCs w:val="24"/>
      </w:rPr>
    </w:pPr>
    <w:r>
      <w:rPr>
        <w:rStyle w:val="9"/>
        <w:sz w:val="24"/>
        <w:szCs w:val="24"/>
      </w:rPr>
      <w:t xml:space="preserve">— </w:t>
    </w: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3</w:t>
    </w:r>
    <w:r>
      <w:rPr>
        <w:rStyle w:val="9"/>
        <w:sz w:val="24"/>
        <w:szCs w:val="24"/>
      </w:rPr>
      <w:fldChar w:fldCharType="end"/>
    </w:r>
    <w:r>
      <w:rPr>
        <w:rStyle w:val="9"/>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C239F"/>
    <w:multiLevelType w:val="singleLevel"/>
    <w:tmpl w:val="244C23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1YzFhYzdiZmExNDdjZDFkYTJlZTE5OTg1ZWY3OWEifQ=="/>
  </w:docVars>
  <w:rsids>
    <w:rsidRoot w:val="5CBF0F36"/>
    <w:rsid w:val="00012411"/>
    <w:rsid w:val="000442C2"/>
    <w:rsid w:val="0006233F"/>
    <w:rsid w:val="00075C6E"/>
    <w:rsid w:val="000B3E07"/>
    <w:rsid w:val="00106895"/>
    <w:rsid w:val="00131420"/>
    <w:rsid w:val="0019762F"/>
    <w:rsid w:val="00197C9B"/>
    <w:rsid w:val="001A2EAD"/>
    <w:rsid w:val="001F4E9D"/>
    <w:rsid w:val="00216FEA"/>
    <w:rsid w:val="0022540A"/>
    <w:rsid w:val="0022672F"/>
    <w:rsid w:val="002356CD"/>
    <w:rsid w:val="00246EB8"/>
    <w:rsid w:val="0027413D"/>
    <w:rsid w:val="00294115"/>
    <w:rsid w:val="002C4960"/>
    <w:rsid w:val="002E77C4"/>
    <w:rsid w:val="002F3F8B"/>
    <w:rsid w:val="003049B2"/>
    <w:rsid w:val="00362A02"/>
    <w:rsid w:val="00393F33"/>
    <w:rsid w:val="003A00AF"/>
    <w:rsid w:val="003B686A"/>
    <w:rsid w:val="003C441D"/>
    <w:rsid w:val="003C4691"/>
    <w:rsid w:val="003F08B5"/>
    <w:rsid w:val="004003CB"/>
    <w:rsid w:val="00403095"/>
    <w:rsid w:val="00442004"/>
    <w:rsid w:val="00460E61"/>
    <w:rsid w:val="004922D3"/>
    <w:rsid w:val="004D0E14"/>
    <w:rsid w:val="004D4439"/>
    <w:rsid w:val="004E4F3A"/>
    <w:rsid w:val="00513592"/>
    <w:rsid w:val="00535BE3"/>
    <w:rsid w:val="0058378E"/>
    <w:rsid w:val="00593E8E"/>
    <w:rsid w:val="005A12B7"/>
    <w:rsid w:val="005D3A33"/>
    <w:rsid w:val="006053E0"/>
    <w:rsid w:val="0061128C"/>
    <w:rsid w:val="00626833"/>
    <w:rsid w:val="00640C73"/>
    <w:rsid w:val="00644F71"/>
    <w:rsid w:val="00694C22"/>
    <w:rsid w:val="006B624F"/>
    <w:rsid w:val="006C4C75"/>
    <w:rsid w:val="00703C75"/>
    <w:rsid w:val="00704E2D"/>
    <w:rsid w:val="00716778"/>
    <w:rsid w:val="00734591"/>
    <w:rsid w:val="00772C18"/>
    <w:rsid w:val="00784CB8"/>
    <w:rsid w:val="007C12C8"/>
    <w:rsid w:val="007C559F"/>
    <w:rsid w:val="007D7C6E"/>
    <w:rsid w:val="007E4C0F"/>
    <w:rsid w:val="007F291B"/>
    <w:rsid w:val="0081137A"/>
    <w:rsid w:val="00847C59"/>
    <w:rsid w:val="00856ED2"/>
    <w:rsid w:val="008759C7"/>
    <w:rsid w:val="00893648"/>
    <w:rsid w:val="00894F57"/>
    <w:rsid w:val="008A699D"/>
    <w:rsid w:val="008D143C"/>
    <w:rsid w:val="00911C9C"/>
    <w:rsid w:val="009722BC"/>
    <w:rsid w:val="00981A75"/>
    <w:rsid w:val="009D36D8"/>
    <w:rsid w:val="00A1210E"/>
    <w:rsid w:val="00A30F3F"/>
    <w:rsid w:val="00A504CD"/>
    <w:rsid w:val="00A62B21"/>
    <w:rsid w:val="00A63224"/>
    <w:rsid w:val="00A641E2"/>
    <w:rsid w:val="00A74117"/>
    <w:rsid w:val="00A878E5"/>
    <w:rsid w:val="00AD237C"/>
    <w:rsid w:val="00AF37A7"/>
    <w:rsid w:val="00B240D4"/>
    <w:rsid w:val="00B34D7F"/>
    <w:rsid w:val="00B828E9"/>
    <w:rsid w:val="00B82DA8"/>
    <w:rsid w:val="00B93892"/>
    <w:rsid w:val="00B94B20"/>
    <w:rsid w:val="00B959D8"/>
    <w:rsid w:val="00B96C5D"/>
    <w:rsid w:val="00BA30D9"/>
    <w:rsid w:val="00BB361D"/>
    <w:rsid w:val="00C16769"/>
    <w:rsid w:val="00C2198A"/>
    <w:rsid w:val="00C23A16"/>
    <w:rsid w:val="00C30333"/>
    <w:rsid w:val="00C335D5"/>
    <w:rsid w:val="00C33D60"/>
    <w:rsid w:val="00C3538B"/>
    <w:rsid w:val="00C41CFA"/>
    <w:rsid w:val="00C54CA2"/>
    <w:rsid w:val="00C67B2D"/>
    <w:rsid w:val="00CA5859"/>
    <w:rsid w:val="00CC1723"/>
    <w:rsid w:val="00CD5139"/>
    <w:rsid w:val="00D15224"/>
    <w:rsid w:val="00D3545D"/>
    <w:rsid w:val="00D42681"/>
    <w:rsid w:val="00DA341D"/>
    <w:rsid w:val="00DC202D"/>
    <w:rsid w:val="00DD1D67"/>
    <w:rsid w:val="00E119BB"/>
    <w:rsid w:val="00E336CE"/>
    <w:rsid w:val="00E6760A"/>
    <w:rsid w:val="00E72DAF"/>
    <w:rsid w:val="00E80FA5"/>
    <w:rsid w:val="00E86BA8"/>
    <w:rsid w:val="00E87437"/>
    <w:rsid w:val="00E964DD"/>
    <w:rsid w:val="00EB0689"/>
    <w:rsid w:val="00F25C17"/>
    <w:rsid w:val="00F30A87"/>
    <w:rsid w:val="00F468DA"/>
    <w:rsid w:val="00F926EC"/>
    <w:rsid w:val="00F937FD"/>
    <w:rsid w:val="00FF4A8F"/>
    <w:rsid w:val="2CF81B1A"/>
    <w:rsid w:val="5C6A70B6"/>
    <w:rsid w:val="5CBF0F36"/>
    <w:rsid w:val="7F156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qFormat/>
    <w:uiPriority w:val="99"/>
    <w:rPr>
      <w:rFonts w:ascii="Calibri" w:hAnsi="Calibri"/>
      <w:sz w:val="28"/>
    </w:rPr>
  </w:style>
  <w:style w:type="paragraph" w:styleId="3">
    <w:name w:val="toc 5"/>
    <w:basedOn w:val="1"/>
    <w:next w:val="1"/>
    <w:qFormat/>
    <w:uiPriority w:val="0"/>
    <w:pPr>
      <w:ind w:left="1680" w:leftChars="800"/>
    </w:p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paragraph" w:customStyle="1" w:styleId="10">
    <w:name w:val="样式 文字 + 首行缩进:  2 字符3"/>
    <w:qFormat/>
    <w:uiPriority w:val="0"/>
    <w:pPr>
      <w:widowControl w:val="0"/>
      <w:autoSpaceDE w:val="0"/>
      <w:autoSpaceDN w:val="0"/>
      <w:spacing w:line="360" w:lineRule="auto"/>
    </w:pPr>
    <w:rPr>
      <w:rFonts w:ascii="等线" w:hAnsi="等线" w:eastAsia="等线" w:cs="等线"/>
      <w:sz w:val="28"/>
      <w:szCs w:val="28"/>
      <w:lang w:val="zh-CN" w:eastAsia="zh-CN" w:bidi="ar-SA"/>
    </w:rPr>
  </w:style>
  <w:style w:type="character" w:customStyle="1" w:styleId="11">
    <w:name w:val="正文文本 Char"/>
    <w:basedOn w:val="8"/>
    <w:link w:val="2"/>
    <w:qFormat/>
    <w:uiPriority w:val="99"/>
    <w:rPr>
      <w:rFonts w:ascii="Calibri" w:hAnsi="Calibri"/>
      <w:kern w:val="2"/>
      <w:sz w:val="28"/>
      <w:szCs w:val="24"/>
    </w:rPr>
  </w:style>
  <w:style w:type="character" w:customStyle="1" w:styleId="12">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3641-A8AC-406B-BFB1-514CEFC7EB6D}">
  <ds:schemaRefs/>
</ds:datastoreItem>
</file>

<file path=docProps/app.xml><?xml version="1.0" encoding="utf-8"?>
<Properties xmlns="http://schemas.openxmlformats.org/officeDocument/2006/extended-properties" xmlns:vt="http://schemas.openxmlformats.org/officeDocument/2006/docPropsVTypes">
  <Template>Normal</Template>
  <Pages>23</Pages>
  <Words>12805</Words>
  <Characters>14474</Characters>
  <Lines>110</Lines>
  <Paragraphs>31</Paragraphs>
  <TotalTime>968</TotalTime>
  <ScaleCrop>false</ScaleCrop>
  <LinksUpToDate>false</LinksUpToDate>
  <CharactersWithSpaces>14499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2022-06-14T09:41:00Z</dcterms:created>
  <dc:creator>Moonn~</dc:creator>
  <cp:lastModifiedBy>Jiangky</cp:lastModifiedBy>
  <dcterms:modified xsi:type="dcterms:W3CDTF">2022-06-20T03:24:11Z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2B665024BECD41CB850D7F39FD59F33F</vt:lpwstr>
  </property>
</Properties>
</file>