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岳阳市考古研究和文物保护中心</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spacing w:line="540" w:lineRule="exact"/>
        <w:jc w:val="both"/>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岳阳市考古研究和文物保护中心</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岳阳市考古研究和文物保护中心部门</w:t>
      </w:r>
      <w:r>
        <w:rPr>
          <w:rFonts w:hint="eastAsia" w:ascii="方正小标宋_GBK" w:hAnsi="方正小标宋_GBK" w:eastAsia="方正小标宋_GBK" w:cs="方正小标宋_GBK"/>
          <w:sz w:val="84"/>
          <w:szCs w:val="84"/>
        </w:rPr>
        <w:t>概况</w:t>
      </w: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2"/>
        <w:rPr>
          <w:rFonts w:hint="eastAsia" w:ascii="方正小标宋_GBK" w:hAnsi="方正小标宋_GBK" w:eastAsia="方正小标宋_GBK" w:cs="方正小标宋_GBK"/>
          <w:sz w:val="84"/>
          <w:szCs w:val="84"/>
        </w:rPr>
      </w:pPr>
    </w:p>
    <w:p>
      <w:pPr>
        <w:pStyle w:val="3"/>
        <w:ind w:left="0" w:leftChars="0" w:firstLine="0" w:firstLineChars="0"/>
        <w:rPr>
          <w:rFonts w:hint="eastAsia" w:ascii="方正小标宋_GBK" w:hAnsi="方正小标宋_GBK" w:eastAsia="方正小标宋_GBK" w:cs="方正小标宋_GBK"/>
          <w:sz w:val="84"/>
          <w:szCs w:val="84"/>
        </w:rPr>
      </w:pPr>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主要负责直属管理的各级文物保护单位的日常管理、保护利用等相关工作；承担全市的文物、考古发掘和非遗保护的业务，协助开展打击文物犯罪活动和涉案文物鉴定工作；负责指导全市不可移动文物普查和专项调查，参与各级文物保护单位的申报、推荐工作，协助开展历史文化名城名镇名村和传统村落的保护利用；参与拟订文化遗产的地方性法规、规章并组织实施的行政辅助工作；负责直属文物保护单位“四有”资料的收集整理建档，文物保护规划、项目计划、文物保护工程方案的编制、评审和报批的行政辅助，协助做好文物保护工程全流程管理；建立全市非物质文化遗产档案，组织开展全市非物质文化遗产的普查、挖掘、抢救、整理、项目业务指导等工作；除了以上各项为机关提供支持保障的职能，我中心还承担全市文物和非遗保护的业务培训、学术交流和研究，文物科技保护与修复的技术支撑，文物价值阐释传播等公益服务职能。</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岳阳市考古研究和文物保护中心</w:t>
      </w:r>
      <w:r>
        <w:rPr>
          <w:rFonts w:hint="eastAsia" w:ascii="Times New Roman" w:hAnsi="Times New Roman" w:eastAsia="仿宋_GB2312" w:cs="仿宋_GB2312"/>
          <w:bCs/>
          <w:kern w:val="0"/>
          <w:sz w:val="32"/>
          <w:szCs w:val="32"/>
        </w:rPr>
        <w:t>单位内设机构包括：综合、文物保护、非遗保护、宣教展示利用、文庙开放管理、岳阳楼书画院、离退休管理部、党办、考古9个内设机构和一个分支机构君山岛文物管理所。</w:t>
      </w:r>
    </w:p>
    <w:p>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岳阳市考古研究和文物保护中心</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年部门决算汇总公开单位构成包括：本单位无独立核算的下属单位，2023年度部门决算汇总公开单位仅包括</w:t>
      </w:r>
      <w:r>
        <w:rPr>
          <w:rFonts w:hint="eastAsia" w:ascii="Times New Roman" w:hAnsi="Times New Roman" w:eastAsia="仿宋_GB2312" w:cs="仿宋_GB2312"/>
          <w:bCs/>
          <w:kern w:val="0"/>
          <w:sz w:val="32"/>
          <w:szCs w:val="32"/>
          <w:lang w:eastAsia="zh-CN"/>
        </w:rPr>
        <w:t>岳阳市考古研究和文物保护中心</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i/>
          <w:iCs/>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年度收、支总计2387.59万元。与上年相比，增加</w:t>
      </w:r>
      <w:r>
        <w:rPr>
          <w:rFonts w:hint="eastAsia" w:ascii="仿宋_GB2312" w:hAnsi="仿宋_GB2312" w:eastAsia="仿宋_GB2312" w:cs="仿宋_GB2312"/>
          <w:sz w:val="32"/>
          <w:szCs w:val="32"/>
          <w:lang w:val="en-US" w:eastAsia="zh-CN"/>
        </w:rPr>
        <w:t>256.19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12.02</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项目经费较上年增长。</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2387.59</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1669.31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69.92</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718.28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30.08</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年度支出合计2385.39万元，其中：基本支出1436.6万元，占</w:t>
      </w:r>
      <w:r>
        <w:rPr>
          <w:rFonts w:hint="eastAsia" w:ascii="仿宋_GB2312" w:hAnsi="仿宋_GB2312" w:eastAsia="仿宋_GB2312" w:cs="仿宋_GB2312"/>
          <w:sz w:val="32"/>
          <w:szCs w:val="32"/>
          <w:lang w:val="en-US" w:eastAsia="zh-CN"/>
        </w:rPr>
        <w:t>60.22</w:t>
      </w:r>
      <w:r>
        <w:rPr>
          <w:rFonts w:hint="eastAsia" w:ascii="仿宋_GB2312" w:hAnsi="仿宋_GB2312" w:eastAsia="仿宋_GB2312" w:cs="仿宋_GB2312"/>
          <w:sz w:val="32"/>
          <w:szCs w:val="32"/>
        </w:rPr>
        <w:t>%；项目支出948.79万元，占</w:t>
      </w:r>
      <w:r>
        <w:rPr>
          <w:rFonts w:hint="eastAsia" w:ascii="仿宋_GB2312" w:hAnsi="仿宋_GB2312" w:eastAsia="仿宋_GB2312" w:cs="仿宋_GB2312"/>
          <w:sz w:val="32"/>
          <w:szCs w:val="32"/>
          <w:lang w:val="en-US" w:eastAsia="zh-CN"/>
        </w:rPr>
        <w:t>39.78</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i/>
          <w:iCs/>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1669.31</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738.1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79.26</w:t>
      </w:r>
      <w:r>
        <w:rPr>
          <w:rFonts w:hint="eastAsia" w:ascii="仿宋_GB2312" w:hAnsi="仿宋_GB2312" w:eastAsia="仿宋_GB2312" w:cs="仿宋_GB2312"/>
          <w:sz w:val="32"/>
          <w:szCs w:val="32"/>
        </w:rPr>
        <w:t>%，主要是因为项目经费较上年增长</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i/>
          <w:iCs/>
          <w:color w:val="FF0000"/>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1669.31</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69.98</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738.1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79.26</w:t>
      </w:r>
      <w:r>
        <w:rPr>
          <w:rFonts w:hint="eastAsia" w:ascii="仿宋_GB2312" w:hAnsi="仿宋_GB2312" w:eastAsia="仿宋_GB2312" w:cs="仿宋_GB2312"/>
          <w:sz w:val="32"/>
          <w:szCs w:val="32"/>
        </w:rPr>
        <w:t>%，主要是因为项目经费较上年增长。</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1669.31</w:t>
      </w:r>
      <w:r>
        <w:rPr>
          <w:rFonts w:hint="eastAsia" w:ascii="仿宋_GB2312" w:hAnsi="仿宋_GB2312" w:eastAsia="仿宋_GB2312" w:cs="仿宋_GB2312"/>
          <w:sz w:val="32"/>
          <w:szCs w:val="32"/>
        </w:rPr>
        <w:t>万元，主要用于以下方面：文化旅游体育与传媒支出（类）支出1516.58万元，占</w:t>
      </w:r>
      <w:r>
        <w:rPr>
          <w:rFonts w:hint="eastAsia" w:ascii="仿宋_GB2312" w:hAnsi="仿宋_GB2312" w:eastAsia="仿宋_GB2312" w:cs="仿宋_GB2312"/>
          <w:sz w:val="32"/>
          <w:szCs w:val="32"/>
          <w:lang w:val="en-US" w:eastAsia="zh-CN"/>
        </w:rPr>
        <w:t>90.85</w:t>
      </w:r>
      <w:r>
        <w:rPr>
          <w:rFonts w:hint="eastAsia" w:ascii="仿宋_GB2312" w:hAnsi="仿宋_GB2312" w:eastAsia="仿宋_GB2312" w:cs="仿宋_GB2312"/>
          <w:sz w:val="32"/>
          <w:szCs w:val="32"/>
        </w:rPr>
        <w:t>%；社会保障和就业支出（类）支出70万元，占</w:t>
      </w:r>
      <w:r>
        <w:rPr>
          <w:rFonts w:hint="eastAsia" w:ascii="仿宋_GB2312" w:hAnsi="仿宋_GB2312" w:eastAsia="仿宋_GB2312" w:cs="仿宋_GB2312"/>
          <w:sz w:val="32"/>
          <w:szCs w:val="32"/>
          <w:lang w:val="en-US" w:eastAsia="zh-CN"/>
        </w:rPr>
        <w:t>4.19</w:t>
      </w:r>
      <w:r>
        <w:rPr>
          <w:rFonts w:hint="eastAsia" w:ascii="仿宋_GB2312" w:hAnsi="仿宋_GB2312" w:eastAsia="仿宋_GB2312" w:cs="仿宋_GB2312"/>
          <w:sz w:val="32"/>
          <w:szCs w:val="32"/>
        </w:rPr>
        <w:t>%;卫生健康支出（类）支出38.39万元，占</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%；住房保障支出（类）支出44.34万元，占</w:t>
      </w:r>
      <w:r>
        <w:rPr>
          <w:rFonts w:hint="eastAsia" w:ascii="仿宋_GB2312" w:hAnsi="仿宋_GB2312" w:eastAsia="仿宋_GB2312" w:cs="仿宋_GB2312"/>
          <w:sz w:val="32"/>
          <w:szCs w:val="32"/>
          <w:lang w:val="en-US" w:eastAsia="zh-CN"/>
        </w:rPr>
        <w:t>2.66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852.97</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1669.31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195.71</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1、文化旅游体育与传媒支出（类）文化和旅游（款）文化创作与保护（项）。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color w:val="auto"/>
          <w:sz w:val="32"/>
          <w:szCs w:val="32"/>
        </w:rPr>
        <w:t>万元，无法计算占年初预算的</w:t>
      </w:r>
      <w:r>
        <w:rPr>
          <w:rFonts w:hint="eastAsia" w:ascii="仿宋_GB2312" w:hAnsi="仿宋_GB2312" w:eastAsia="仿宋_GB2312" w:cs="仿宋_GB2312"/>
          <w:color w:val="auto"/>
          <w:sz w:val="32"/>
          <w:szCs w:val="32"/>
          <w:lang w:val="en-US" w:eastAsia="zh-CN"/>
        </w:rPr>
        <w:t>比重</w:t>
      </w:r>
      <w:r>
        <w:rPr>
          <w:rFonts w:hint="eastAsia" w:ascii="仿宋_GB2312" w:hAnsi="仿宋_GB2312" w:eastAsia="仿宋_GB2312" w:cs="仿宋_GB2312"/>
          <w:color w:val="auto"/>
          <w:sz w:val="32"/>
          <w:szCs w:val="32"/>
        </w:rPr>
        <w:t>，决算数大于年初预算数的主要原因是：项目经费较上年增长</w:t>
      </w:r>
      <w:r>
        <w:rPr>
          <w:rFonts w:hint="eastAsia" w:ascii="Times New Roman" w:hAnsi="Times New Roman" w:eastAsia="仿宋_GB2312"/>
          <w:color w:val="auto"/>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2、文化旅游体育与传媒支出（类）文化和旅游（款）其他文化和旅游支出（项）。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万元，支出决算为301.23万元，无法计算占年初预算的</w:t>
      </w:r>
      <w:r>
        <w:rPr>
          <w:rFonts w:hint="eastAsia" w:ascii="仿宋_GB2312" w:hAnsi="仿宋_GB2312" w:eastAsia="仿宋_GB2312" w:cs="仿宋_GB2312"/>
          <w:color w:val="auto"/>
          <w:sz w:val="32"/>
          <w:szCs w:val="32"/>
          <w:lang w:val="en-US" w:eastAsia="zh-CN"/>
        </w:rPr>
        <w:t>比重</w:t>
      </w:r>
      <w:r>
        <w:rPr>
          <w:rFonts w:hint="eastAsia" w:ascii="仿宋_GB2312" w:hAnsi="仿宋_GB2312" w:eastAsia="仿宋_GB2312" w:cs="仿宋_GB2312"/>
          <w:color w:val="auto"/>
          <w:sz w:val="32"/>
          <w:szCs w:val="32"/>
        </w:rPr>
        <w:t>，决算数大于年初预算数的主要原因是：项目经费较上年增长</w:t>
      </w:r>
      <w:r>
        <w:rPr>
          <w:rFonts w:hint="eastAsia" w:ascii="Times New Roman" w:hAnsi="Times New Roman" w:eastAsia="仿宋_GB2312"/>
          <w:color w:val="auto"/>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、文化旅游体育与传媒支出（类）文物（款）文物保护（项）。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706.7</w:t>
      </w:r>
      <w:r>
        <w:rPr>
          <w:rFonts w:hint="eastAsia" w:ascii="仿宋_GB2312" w:hAnsi="仿宋_GB2312" w:eastAsia="仿宋_GB2312" w:cs="仿宋_GB2312"/>
          <w:color w:val="auto"/>
          <w:sz w:val="32"/>
          <w:szCs w:val="32"/>
        </w:rPr>
        <w:t>万元，支出决算为968.76万元，完成年初预算的</w:t>
      </w:r>
      <w:r>
        <w:rPr>
          <w:rFonts w:hint="eastAsia" w:ascii="仿宋_GB2312" w:hAnsi="仿宋_GB2312" w:eastAsia="仿宋_GB2312" w:cs="仿宋_GB2312"/>
          <w:color w:val="auto"/>
          <w:sz w:val="32"/>
          <w:szCs w:val="32"/>
          <w:lang w:val="en-US" w:eastAsia="zh-CN"/>
        </w:rPr>
        <w:t>137.08</w:t>
      </w:r>
      <w:r>
        <w:rPr>
          <w:rFonts w:hint="eastAsia" w:ascii="仿宋_GB2312" w:hAnsi="仿宋_GB2312" w:eastAsia="仿宋_GB2312" w:cs="仿宋_GB2312"/>
          <w:color w:val="auto"/>
          <w:sz w:val="32"/>
          <w:szCs w:val="32"/>
        </w:rPr>
        <w:t>%，决算数大于年初预算数的主要原因是：项目经费较上年增长</w:t>
      </w:r>
      <w:r>
        <w:rPr>
          <w:rFonts w:hint="eastAsia" w:ascii="仿宋_GB2312" w:hAnsi="仿宋_GB2312" w:eastAsia="仿宋_GB2312" w:cs="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、文化旅游体育与传媒支出（类）文物（款）博物馆（项）。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万元，支出决算为4.52万元，无法计算占年初预算的</w:t>
      </w:r>
      <w:r>
        <w:rPr>
          <w:rFonts w:hint="eastAsia" w:ascii="仿宋_GB2312" w:hAnsi="仿宋_GB2312" w:eastAsia="仿宋_GB2312" w:cs="仿宋_GB2312"/>
          <w:color w:val="auto"/>
          <w:sz w:val="32"/>
          <w:szCs w:val="32"/>
          <w:lang w:val="en-US" w:eastAsia="zh-CN"/>
        </w:rPr>
        <w:t>比重</w:t>
      </w:r>
      <w:r>
        <w:rPr>
          <w:rFonts w:hint="eastAsia" w:ascii="仿宋_GB2312" w:hAnsi="仿宋_GB2312" w:eastAsia="仿宋_GB2312" w:cs="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单位正常运行的支出。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、文化旅游体育与传媒支出（类）文物（款）其他文物支出（项）。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万元，支出决算为235.57万元，无法计算占年初预算的</w:t>
      </w:r>
      <w:r>
        <w:rPr>
          <w:rFonts w:hint="eastAsia" w:ascii="仿宋_GB2312" w:hAnsi="仿宋_GB2312" w:eastAsia="仿宋_GB2312" w:cs="仿宋_GB2312"/>
          <w:color w:val="auto"/>
          <w:sz w:val="32"/>
          <w:szCs w:val="32"/>
          <w:lang w:val="en-US" w:eastAsia="zh-CN"/>
        </w:rPr>
        <w:t>比重</w:t>
      </w:r>
      <w:r>
        <w:rPr>
          <w:rFonts w:hint="eastAsia" w:ascii="仿宋_GB2312" w:hAnsi="仿宋_GB2312" w:eastAsia="仿宋_GB2312" w:cs="仿宋_GB2312"/>
          <w:color w:val="auto"/>
          <w:sz w:val="32"/>
          <w:szCs w:val="32"/>
        </w:rPr>
        <w:t>，决算数大于年初预算数的主要原因是：项目经费较上年增长</w:t>
      </w:r>
      <w:r>
        <w:rPr>
          <w:rFonts w:hint="eastAsia" w:ascii="Times New Roman" w:hAnsi="Times New Roman" w:eastAsia="仿宋_GB2312"/>
          <w:color w:val="auto"/>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、社会保障和就业支出（类）行政事业单位养老支出（款）事业单位离退休（项）。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15.3</w:t>
      </w:r>
      <w:r>
        <w:rPr>
          <w:rFonts w:hint="eastAsia" w:ascii="仿宋_GB2312" w:hAnsi="仿宋_GB2312" w:eastAsia="仿宋_GB2312" w:cs="仿宋_GB2312"/>
          <w:color w:val="auto"/>
          <w:sz w:val="32"/>
          <w:szCs w:val="32"/>
        </w:rPr>
        <w:t>万元，支出决算为16.91万元，完成年初预算的</w:t>
      </w:r>
      <w:r>
        <w:rPr>
          <w:rFonts w:hint="eastAsia" w:ascii="仿宋_GB2312" w:hAnsi="仿宋_GB2312" w:eastAsia="仿宋_GB2312" w:cs="仿宋_GB2312"/>
          <w:color w:val="auto"/>
          <w:sz w:val="32"/>
          <w:szCs w:val="32"/>
          <w:lang w:val="en-US" w:eastAsia="zh-CN"/>
        </w:rPr>
        <w:t>110.52</w:t>
      </w:r>
      <w:r>
        <w:rPr>
          <w:rFonts w:hint="eastAsia" w:ascii="仿宋_GB2312" w:hAnsi="仿宋_GB2312" w:eastAsia="仿宋_GB2312" w:cs="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单位正常运行的支出，预算数与决算数相近。</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、社会保障和就业支出（类）行政事业单位养老支出（款）机关事业单位基本养老保险缴费支出（项）。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46.32</w:t>
      </w:r>
      <w:r>
        <w:rPr>
          <w:rFonts w:hint="eastAsia" w:ascii="仿宋_GB2312" w:hAnsi="仿宋_GB2312" w:eastAsia="仿宋_GB2312" w:cs="仿宋_GB2312"/>
          <w:color w:val="auto"/>
          <w:sz w:val="32"/>
          <w:szCs w:val="32"/>
        </w:rPr>
        <w:t>万元，支出决算为46.32万元，完成年初预算的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单位正常运行的支出，预算数与决算数相近。</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、社会保障和就业支出（类）抚恤（款）其他优抚支出（项）。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万元，支出决算为5.21万元，无法计算占年初预算的</w:t>
      </w:r>
      <w:r>
        <w:rPr>
          <w:rFonts w:hint="eastAsia" w:ascii="仿宋_GB2312" w:hAnsi="仿宋_GB2312" w:eastAsia="仿宋_GB2312" w:cs="仿宋_GB2312"/>
          <w:color w:val="auto"/>
          <w:sz w:val="32"/>
          <w:szCs w:val="32"/>
          <w:lang w:val="en-US" w:eastAsia="zh-CN"/>
        </w:rPr>
        <w:t>比重</w:t>
      </w:r>
      <w:r>
        <w:rPr>
          <w:rFonts w:hint="eastAsia" w:ascii="仿宋_GB2312" w:hAnsi="仿宋_GB2312" w:eastAsia="仿宋_GB2312" w:cs="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单位正常运行的支出。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、社会保障和就业支出（类）其他社会保障和就业支出（款）其他社会保障和就业支出（项）。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1.41</w:t>
      </w:r>
      <w:r>
        <w:rPr>
          <w:rFonts w:hint="eastAsia" w:ascii="仿宋_GB2312" w:hAnsi="仿宋_GB2312" w:eastAsia="仿宋_GB2312" w:cs="仿宋_GB2312"/>
          <w:color w:val="auto"/>
          <w:sz w:val="32"/>
          <w:szCs w:val="32"/>
        </w:rPr>
        <w:t>万元，支出决算为1.56万元，完成年初预算的</w:t>
      </w:r>
      <w:r>
        <w:rPr>
          <w:rFonts w:hint="eastAsia" w:ascii="仿宋_GB2312" w:hAnsi="仿宋_GB2312" w:eastAsia="仿宋_GB2312" w:cs="仿宋_GB2312"/>
          <w:color w:val="auto"/>
          <w:sz w:val="32"/>
          <w:szCs w:val="32"/>
          <w:lang w:val="en-US" w:eastAsia="zh-CN"/>
        </w:rPr>
        <w:t>110.64</w:t>
      </w:r>
      <w:r>
        <w:rPr>
          <w:rFonts w:hint="eastAsia" w:ascii="仿宋_GB2312" w:hAnsi="仿宋_GB2312" w:eastAsia="仿宋_GB2312" w:cs="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单位正常运行的支出。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、卫生健康支出（类）行政事业单位医疗（款）事业单位医疗（项）。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37.41</w:t>
      </w:r>
      <w:r>
        <w:rPr>
          <w:rFonts w:hint="eastAsia" w:ascii="仿宋_GB2312" w:hAnsi="仿宋_GB2312" w:eastAsia="仿宋_GB2312" w:cs="仿宋_GB2312"/>
          <w:sz w:val="32"/>
          <w:szCs w:val="32"/>
        </w:rPr>
        <w:t>万元，支出决算为38.39万元，完成年初预算的</w:t>
      </w:r>
      <w:r>
        <w:rPr>
          <w:rFonts w:hint="eastAsia" w:ascii="仿宋_GB2312" w:hAnsi="仿宋_GB2312" w:eastAsia="仿宋_GB2312" w:cs="仿宋_GB2312"/>
          <w:sz w:val="32"/>
          <w:szCs w:val="32"/>
          <w:lang w:val="en-US" w:eastAsia="zh-CN"/>
        </w:rPr>
        <w:t>102.62</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lang w:val="en-US" w:eastAsia="zh-CN"/>
        </w:rPr>
        <w:t>单位正常运行的支出，预算数与决算数相近。</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、住房保障支出（类）住房改革支出（款）住房公积金（项）。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45.83</w:t>
      </w:r>
      <w:r>
        <w:rPr>
          <w:rFonts w:hint="eastAsia" w:ascii="仿宋_GB2312" w:hAnsi="仿宋_GB2312" w:eastAsia="仿宋_GB2312" w:cs="仿宋_GB2312"/>
          <w:sz w:val="32"/>
          <w:szCs w:val="32"/>
        </w:rPr>
        <w:t>万元，支出决算为44.34万元，完成年初预算的</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%，决算数小于年初预算数的主要原因是：</w:t>
      </w:r>
      <w:r>
        <w:rPr>
          <w:rFonts w:hint="eastAsia" w:ascii="Times New Roman" w:hAnsi="Times New Roman" w:eastAsia="仿宋_GB2312"/>
          <w:sz w:val="32"/>
          <w:szCs w:val="32"/>
          <w:lang w:val="en-US" w:eastAsia="zh-CN"/>
        </w:rPr>
        <w:t>单位正常运行的支出，预算数与决算数相近。</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720.52</w:t>
      </w:r>
      <w:r>
        <w:rPr>
          <w:rFonts w:hint="eastAsia" w:ascii="仿宋_GB2312" w:hAnsi="仿宋_GB2312" w:eastAsia="仿宋_GB2312" w:cs="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667.31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92.62</w:t>
      </w:r>
      <w:r>
        <w:rPr>
          <w:rFonts w:hint="eastAsia" w:ascii="仿宋_GB2312" w:hAnsi="仿宋_GB2312" w:eastAsia="仿宋_GB2312" w:cs="仿宋_GB2312"/>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53.21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7.38</w:t>
      </w:r>
      <w:r>
        <w:rPr>
          <w:rFonts w:hint="eastAsia" w:ascii="仿宋_GB2312" w:hAnsi="仿宋_GB2312" w:eastAsia="仿宋_GB2312" w:cs="仿宋_GB2312"/>
          <w:sz w:val="32"/>
          <w:szCs w:val="32"/>
        </w:rPr>
        <w:t>%，主要包括办公费、印刷费、咨询费、手续费、水费、电费、邮电费、取暖费、物业管理费、差旅费、因公出国（境）费用、维修（护）费、租赁费、会议费、培训费、公务接待费、专用材料费、劳务费、委托业务费、工会经费、福利费、其他交通费用、税金及附加费用、其他商品和服务支出、办公设备购置、专用设备购置。</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2"/>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widowControl w:val="0"/>
        <w:autoSpaceDE w:val="0"/>
        <w:autoSpaceDN w:val="0"/>
        <w:adjustRightInd w:val="0"/>
        <w:ind w:firstLine="640" w:firstLineChars="200"/>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lang w:val="en-US" w:eastAsia="zh-CN"/>
        </w:rPr>
        <w:t>我单位严格按预算执行决算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6.67</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与上年金额相近，为单位正常支出</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因公出国（境）费支，与上年相比增加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因公出国（境）费支。</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lang w:val="en-US" w:eastAsia="zh-CN"/>
        </w:rPr>
        <w:t>我单位严格按预算执行决算</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6.67</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与上年金额相近，为单位正常支出</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公务用车购置费支出，与上年相比增加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%,增长的主要原因是无公务用车购置费支出。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无公务用车</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无公务用车</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b/>
          <w:bCs/>
          <w:i/>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娄底文旅局考察、常德文旅局考察、湖南科技大学文庙文化研究中心考察</w:t>
      </w:r>
      <w:r>
        <w:rPr>
          <w:rFonts w:hint="eastAsia" w:ascii="仿宋_GB2312" w:hAnsi="仿宋_GB2312" w:eastAsia="仿宋_GB2312" w:cs="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万元，其中：公务用车购置费0万元，当年没有购置公务用车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无公务用车</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2"/>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53.21</w:t>
      </w:r>
      <w:r>
        <w:rPr>
          <w:rFonts w:hint="eastAsia" w:ascii="仿宋_GB2312" w:hAnsi="仿宋_GB2312" w:eastAsia="仿宋_GB2312" w:cs="仿宋_GB2312"/>
          <w:sz w:val="32"/>
          <w:szCs w:val="32"/>
        </w:rPr>
        <w:t>万元，比年初预算数减少</w:t>
      </w:r>
      <w:r>
        <w:rPr>
          <w:rFonts w:hint="eastAsia" w:ascii="仿宋_GB2312" w:hAnsi="仿宋_GB2312" w:eastAsia="仿宋_GB2312" w:cs="仿宋_GB2312"/>
          <w:sz w:val="32"/>
          <w:szCs w:val="32"/>
          <w:lang w:val="en-US" w:eastAsia="zh-CN"/>
        </w:rPr>
        <w:t>9.55</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15.22</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单位按实际情况正常支出。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年度，会议费年初预算0.24万元，支出决算为0.24万元，完成年初预算的100%。用于召开中国文物学会历史文化名楼保护专业委员会2023年理事会暨第十八届名楼论坛会议，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人，内容为中国文物学会历史文化名楼保护专业委员会2023年理事会暨第十八届名楼论坛</w:t>
      </w:r>
      <w:r>
        <w:rPr>
          <w:rFonts w:hint="eastAsia" w:ascii="仿宋_GB2312" w:hAnsi="仿宋_GB2312" w:eastAsia="仿宋_GB2312" w:cs="仿宋_GB2312"/>
          <w:sz w:val="32"/>
          <w:szCs w:val="32"/>
          <w:lang w:eastAsia="zh-CN"/>
        </w:rPr>
        <w:t>会务费。</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1.55万元，支出决算为1.55万元，完成年初预算的100%。用于开展全市党外知识分子代表人士培训，消防职业技能培训，员工教育培训，全市新任及年轻县处级领导干部廉政培训，事业单位工作人员培训，人数96人，内容为全市党外知识分子代表人士培训，消防职业技能培训，员工教育培训，全市新任及年轻县处级领导干部廉政培训，事业单位工作人员培训。</w:t>
      </w:r>
    </w:p>
    <w:p>
      <w:pPr>
        <w:widowControl w:val="0"/>
        <w:autoSpaceDE w:val="0"/>
        <w:autoSpaceDN w:val="0"/>
        <w:adjustRightInd w:val="0"/>
        <w:ind w:firstLine="640" w:firstLineChars="200"/>
        <w:rPr>
          <w:rFonts w:hint="eastAsia" w:ascii="楷体" w:hAnsi="楷体" w:eastAsia="楷体" w:cs="楷体"/>
          <w:b/>
          <w:bCs/>
          <w:i w:val="0"/>
          <w:iCs w:val="0"/>
          <w:color w:val="FF0000"/>
          <w:kern w:val="0"/>
          <w:sz w:val="40"/>
          <w:szCs w:val="40"/>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举办节庆、晚会、论坛、赛事活动年初预算0万元，支出决算为0万元，主要是本单位无举办节庆、晚会、论坛、赛事等活动的预算和支出决算数。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FF0000"/>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年度政府采购支出总额970.06万元，其中：政府采购货物支出38.98万元、政府采购工程支出505.82万元、政府采购服务支出425.26万元。授予中小企业合同金额970.06万元，占政府采购支出总额的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970.06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FF0000"/>
          <w:sz w:val="32"/>
          <w:szCs w:val="32"/>
          <w:lang w:val="en-US" w:eastAsia="zh-CN"/>
        </w:rPr>
      </w:pPr>
      <w:r>
        <w:rPr>
          <w:rFonts w:hint="eastAsia" w:ascii="仿宋_GB2312" w:hAnsi="仿宋_GB2312" w:eastAsia="仿宋_GB2312" w:cs="仿宋_GB2312"/>
          <w:color w:val="auto"/>
          <w:sz w:val="32"/>
          <w:szCs w:val="32"/>
        </w:rPr>
        <w:t>截至2023年12月31日，本单位共有车辆0辆，其中，副部（省）级及以上领导用车0辆、主要负责人用车0辆、机要通信用车0辆、应急保障用车0辆、执法执勤用车0辆、特种专业技术用车0辆、离退休干部服务用车0辆、其他用车0辆；单位价值100万元以上设备（不含车辆）0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1669.31万元，政府性基金预算支出0万元，国有资本经营预算支出0万元。从评价情况来看，整体支出绩效评价中，2023年整体支出1669.31万元，其中：基本支出720.53万元，项目支出948.79万元，本单位整体支出绩效自评综合评分100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2个，共涉及资金326.3万元，占一般公共预算项目支出总额的34.39%。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100分，评价结果等次为优秀。</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FF0000"/>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根据年初设定的绩效目标，绩效自评得分为100分。全年预算数为2387.59万元，执行数为2385.38万元，完成预算的99.9</w:t>
      </w:r>
      <w:bookmarkStart w:id="0" w:name="_GoBack"/>
      <w:bookmarkEnd w:id="0"/>
      <w:r>
        <w:rPr>
          <w:rFonts w:hint="eastAsia" w:ascii="仿宋_GB2312" w:hAnsi="仿宋_GB2312" w:eastAsia="仿宋_GB2312" w:cs="仿宋_GB2312"/>
          <w:b w:val="0"/>
          <w:bCs w:val="0"/>
          <w:color w:val="000000"/>
          <w:kern w:val="0"/>
          <w:sz w:val="32"/>
          <w:szCs w:val="32"/>
          <w:lang w:val="en-US" w:eastAsia="zh-CN" w:bidi="ar-SA"/>
        </w:rPr>
        <w:t>%。绩效目标完成情况：一是在周末、黄金周、夜间开放期间，由班子成员带头，安排全体员工轮流值守岳阳楼、岳阳文庙、慈氏塔3处国保文物和鲁肃墓省保文物，做好了重点文物保护区域的巡查、督导工作。全年无文物安全事故；二是2023年6月6日，市委常委、副市长李美云主持召开“市二中改扩建及岳阳文庙恢复传统规制”协调会。8月14日，市政府出台相关会议纪要，对调整土地划拨等问题进行明确，将市二中约14.7亩地（北侧5272.42m²、南侧4467m²）,连同市二中现有办公楼划归岳阳文庙，用于恢复岳阳文庙景区中轴线主院落和东院落传统规制和格局。目前，“岳阳文庙保护展示及配套服务设施建设项目”已进入国家发改委项目库，已完成项目可行性研究报告的编制、项目勘察设计方案的编制、建设用地权属勘测定界图的勘测绘制、建设范围地下人防工程勘测等工作，林业选址论证、文物影响评估、方案评审正在按程序报省文物和国家文物局审批；三是为进一步激活文庙文化魅力，引进专项资金300万元重点推进岳阳文庙《科举·岳阳》展陈项目建设，通过展览让人民群众走进文庙、认识文庙、了解文庙，该项目已于11月底完工并对游客开放；四是年初邀请省级文物专家刘绍军教授撰写了《君山摩崖石刻修缮工程项目计划书》，并向省文物局提交了摩崖石刻立项申报，已于10月26日通过省局审批；湘妃祠屋面修缮保护工程已于上半年完成，下半年又对湘妃祠内部进行了修缮保护；五是配合市文旅局承办了2023年文化和自然遗产日宣传活动，以“洞庭一味·鱼韵悠长”为主题，通过巴陵全鱼席制作厨艺大赛、非遗项目展演、展示、展销及新媒体宣传等形式，加强全市非遗交流互动，凝聚更加广泛的社会关注和保护共识，全面展示近年来我市非遗保护传承工作取得的成果；六是配合岳阳地区基本建设进行文物调查、勘探和抢救性考古发掘。共涉及“三建”工地57余个，涉及面积620万余平方米。完成了岳阳市第三水厂、良心堡唐墓、湘阴S506公路明清墓葬等4个抢救性考古发掘，共发掘墓葬16座，出土文物7件；协助省文物考古研究所完成国家主动性文物考古课题；积极开展文物修复和科学研究。</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color w:val="FF0000"/>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一是未落实单位内部财会监督主体责任，未建立“五位一体”财会监督体系中的单位内部监督制度；二是未落实中央、省、市财会监督有关决策部署方案。下一步改进措施：一是建立健全“五位一体”财会监督体系。一是加强组织领导，压实主体责任。召开中心党委班子会，研究财政监督检查相关问题的整改方案，做好对财会监督工作的督促和指导；二是坚持问题导向，强化协同联动。与纪检办做好对本单位财会工作的日常监督，形成齐抓共管的财会监督新局面；三是提高思想认真，加强业务学习。组织相关部室及人员学习财会监督单位内部监督制度，及时传达学习相关政策和文件精神；二是进一步落实中央、省、市财会监督有关决策部署方案，根据《岳阳市考古研究和文物保护中心关于进一步加强财会监督的工作方案》，责任分工到部室到人；把财会监督的相关政策文和文件精神的学习纳入中心党委班子会议题；按上级要求严格落实工作部署，不断完善细化单位内部监督制度。</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numPr>
          <w:ilvl w:val="0"/>
          <w:numId w:val="0"/>
        </w:numPr>
        <w:autoSpaceDE w:val="0"/>
        <w:autoSpaceDN w:val="0"/>
        <w:adjustRightInd w:val="0"/>
        <w:jc w:val="left"/>
        <w:rPr>
          <w:rFonts w:hint="default" w:ascii="楷体" w:hAnsi="楷体" w:eastAsia="楷体" w:cs="楷体"/>
          <w:b/>
          <w:bCs/>
          <w:i w:val="0"/>
          <w:iCs w:val="0"/>
          <w:color w:val="FF0000"/>
          <w:kern w:val="0"/>
          <w:sz w:val="36"/>
          <w:szCs w:val="36"/>
          <w:lang w:val="en-US" w:eastAsia="zh-CN"/>
        </w:rPr>
      </w:pPr>
    </w:p>
    <w:p>
      <w:pPr>
        <w:pStyle w:val="12"/>
        <w:jc w:val="both"/>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0"/>
          <w:szCs w:val="70"/>
          <w:lang w:eastAsia="zh-CN"/>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3"/>
      </w:pPr>
    </w:p>
    <w:p/>
    <w:p>
      <w:pPr>
        <w:pStyle w:val="2"/>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both"/>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F9274C"/>
    <w:rsid w:val="02EF2F6A"/>
    <w:rsid w:val="059958AD"/>
    <w:rsid w:val="05D94925"/>
    <w:rsid w:val="06C857E7"/>
    <w:rsid w:val="08C24A73"/>
    <w:rsid w:val="08E13784"/>
    <w:rsid w:val="0C616581"/>
    <w:rsid w:val="0C7D4C3A"/>
    <w:rsid w:val="0DF668D0"/>
    <w:rsid w:val="10C92731"/>
    <w:rsid w:val="12583BA5"/>
    <w:rsid w:val="12E63D11"/>
    <w:rsid w:val="13BA5B9C"/>
    <w:rsid w:val="14DF3FB8"/>
    <w:rsid w:val="150C5718"/>
    <w:rsid w:val="15216F1B"/>
    <w:rsid w:val="15F42E8B"/>
    <w:rsid w:val="16810BF3"/>
    <w:rsid w:val="17DE1C8A"/>
    <w:rsid w:val="17E91438"/>
    <w:rsid w:val="18E24DE3"/>
    <w:rsid w:val="1A1B58EB"/>
    <w:rsid w:val="1BD63C8D"/>
    <w:rsid w:val="1D091930"/>
    <w:rsid w:val="1D97DEFF"/>
    <w:rsid w:val="1DFF72E5"/>
    <w:rsid w:val="1EFC6F07"/>
    <w:rsid w:val="1EFC7A22"/>
    <w:rsid w:val="1F0527A6"/>
    <w:rsid w:val="1F05338C"/>
    <w:rsid w:val="212F0378"/>
    <w:rsid w:val="21672609"/>
    <w:rsid w:val="221A105A"/>
    <w:rsid w:val="22AC03C2"/>
    <w:rsid w:val="24651DA9"/>
    <w:rsid w:val="25276723"/>
    <w:rsid w:val="26F747E5"/>
    <w:rsid w:val="291D2698"/>
    <w:rsid w:val="2A46291A"/>
    <w:rsid w:val="2A820352"/>
    <w:rsid w:val="2BA85539"/>
    <w:rsid w:val="2D302834"/>
    <w:rsid w:val="2FDF85B8"/>
    <w:rsid w:val="2FE97876"/>
    <w:rsid w:val="2FFFEE04"/>
    <w:rsid w:val="30133FEC"/>
    <w:rsid w:val="31C95635"/>
    <w:rsid w:val="31D16C6E"/>
    <w:rsid w:val="34DF85B0"/>
    <w:rsid w:val="35625AE9"/>
    <w:rsid w:val="367A503A"/>
    <w:rsid w:val="373C1E2F"/>
    <w:rsid w:val="3B8F36BC"/>
    <w:rsid w:val="3E21679C"/>
    <w:rsid w:val="40A86482"/>
    <w:rsid w:val="418238EE"/>
    <w:rsid w:val="430A198E"/>
    <w:rsid w:val="43532D9C"/>
    <w:rsid w:val="44CE7B45"/>
    <w:rsid w:val="46B53E1D"/>
    <w:rsid w:val="4765095D"/>
    <w:rsid w:val="47BC1C27"/>
    <w:rsid w:val="47FD1162"/>
    <w:rsid w:val="48D65CD9"/>
    <w:rsid w:val="49057A43"/>
    <w:rsid w:val="491FF225"/>
    <w:rsid w:val="493C5CB3"/>
    <w:rsid w:val="4BF46358"/>
    <w:rsid w:val="4DDC79BF"/>
    <w:rsid w:val="4FF07EA2"/>
    <w:rsid w:val="4FFD214C"/>
    <w:rsid w:val="518B361C"/>
    <w:rsid w:val="519B0C71"/>
    <w:rsid w:val="5352765A"/>
    <w:rsid w:val="53957C99"/>
    <w:rsid w:val="56115165"/>
    <w:rsid w:val="5777D4F5"/>
    <w:rsid w:val="580A63DC"/>
    <w:rsid w:val="59D14186"/>
    <w:rsid w:val="59DD8326"/>
    <w:rsid w:val="5B131D15"/>
    <w:rsid w:val="5D863421"/>
    <w:rsid w:val="5DC425EE"/>
    <w:rsid w:val="5DEF592A"/>
    <w:rsid w:val="5FC6BB1E"/>
    <w:rsid w:val="5FF720F1"/>
    <w:rsid w:val="62C46C97"/>
    <w:rsid w:val="64EB4C93"/>
    <w:rsid w:val="67AA6005"/>
    <w:rsid w:val="67FF5C0B"/>
    <w:rsid w:val="6A7400B6"/>
    <w:rsid w:val="6BAA4A2F"/>
    <w:rsid w:val="6ED26B2E"/>
    <w:rsid w:val="6EFC0924"/>
    <w:rsid w:val="6FB74722"/>
    <w:rsid w:val="6FEF8B7E"/>
    <w:rsid w:val="700E0800"/>
    <w:rsid w:val="70610333"/>
    <w:rsid w:val="70D40750"/>
    <w:rsid w:val="71A6591B"/>
    <w:rsid w:val="73491A49"/>
    <w:rsid w:val="7378493E"/>
    <w:rsid w:val="737D59BA"/>
    <w:rsid w:val="737F32B1"/>
    <w:rsid w:val="75AB06AA"/>
    <w:rsid w:val="77047750"/>
    <w:rsid w:val="77C37683"/>
    <w:rsid w:val="79FF515B"/>
    <w:rsid w:val="7A441264"/>
    <w:rsid w:val="7A48312B"/>
    <w:rsid w:val="7A7A258C"/>
    <w:rsid w:val="7DC1685E"/>
    <w:rsid w:val="7E9E1962"/>
    <w:rsid w:val="7E9F11B4"/>
    <w:rsid w:val="7F37EC1E"/>
    <w:rsid w:val="7F7DCD9D"/>
    <w:rsid w:val="7F970A6F"/>
    <w:rsid w:val="7FC1FFF3"/>
    <w:rsid w:val="7FC69637"/>
    <w:rsid w:val="7FDF8620"/>
    <w:rsid w:val="7FE900B8"/>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24</TotalTime>
  <ScaleCrop>false</ScaleCrop>
  <LinksUpToDate>false</LinksUpToDate>
  <CharactersWithSpaces>9008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2025-07-28T03:10:41Z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98623D6660B449428EB8E073C6C952EA</vt:lpwstr>
  </property>
</Properties>
</file>