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jc w:val="center"/>
        <w:rPr>
          <w:sz w:val="56"/>
          <w:szCs w:val="56"/>
        </w:rPr>
      </w:pPr>
    </w:p>
    <w:p>
      <w:pPr>
        <w:pStyle w:val="13"/>
        <w:jc w:val="center"/>
        <w:rPr>
          <w:sz w:val="56"/>
          <w:szCs w:val="56"/>
        </w:rPr>
      </w:pPr>
    </w:p>
    <w:p>
      <w:pPr>
        <w:pStyle w:val="13"/>
        <w:jc w:val="center"/>
        <w:rPr>
          <w:sz w:val="84"/>
          <w:szCs w:val="84"/>
        </w:rPr>
      </w:pPr>
    </w:p>
    <w:p>
      <w:pPr>
        <w:pStyle w:val="13"/>
        <w:jc w:val="center"/>
        <w:rPr>
          <w:sz w:val="84"/>
          <w:szCs w:val="84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202</w:t>
      </w:r>
      <w:r>
        <w:rPr>
          <w:rFonts w:hint="eastAsia" w:ascii="方正小标宋_GBK" w:hAnsi="方正小标宋_GBK" w:eastAsia="方正小标宋_GBK" w:cs="方正小标宋_GBK"/>
          <w:sz w:val="84"/>
          <w:szCs w:val="8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年度</w:t>
      </w: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  <w:lang w:eastAsia="zh-CN"/>
        </w:rPr>
        <w:t>岳阳市群众艺术馆</w:t>
      </w: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部门决算</w:t>
      </w: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56"/>
          <w:szCs w:val="56"/>
        </w:rPr>
      </w:pPr>
    </w:p>
    <w:p>
      <w:pPr>
        <w:pStyle w:val="13"/>
        <w:jc w:val="center"/>
        <w:rPr>
          <w:sz w:val="56"/>
          <w:szCs w:val="56"/>
        </w:rPr>
      </w:pPr>
    </w:p>
    <w:p>
      <w:pPr>
        <w:pStyle w:val="13"/>
        <w:jc w:val="center"/>
        <w:rPr>
          <w:sz w:val="56"/>
          <w:szCs w:val="56"/>
        </w:rPr>
      </w:pPr>
    </w:p>
    <w:p>
      <w:pPr>
        <w:pStyle w:val="13"/>
        <w:jc w:val="center"/>
        <w:rPr>
          <w:sz w:val="56"/>
          <w:szCs w:val="56"/>
        </w:rPr>
      </w:pPr>
    </w:p>
    <w:p>
      <w:pPr>
        <w:pStyle w:val="13"/>
        <w:jc w:val="center"/>
        <w:rPr>
          <w:sz w:val="32"/>
          <w:szCs w:val="32"/>
        </w:rPr>
      </w:pPr>
    </w:p>
    <w:p>
      <w:pPr>
        <w:pStyle w:val="13"/>
        <w:jc w:val="center"/>
        <w:rPr>
          <w:sz w:val="32"/>
          <w:szCs w:val="32"/>
        </w:rPr>
      </w:pPr>
    </w:p>
    <w:p>
      <w:pPr>
        <w:pStyle w:val="13"/>
        <w:jc w:val="center"/>
        <w:rPr>
          <w:sz w:val="32"/>
          <w:szCs w:val="32"/>
        </w:rPr>
      </w:pPr>
    </w:p>
    <w:p>
      <w:pPr>
        <w:pStyle w:val="13"/>
        <w:jc w:val="center"/>
        <w:rPr>
          <w:sz w:val="32"/>
          <w:szCs w:val="32"/>
        </w:rPr>
      </w:pPr>
    </w:p>
    <w:p>
      <w:pPr>
        <w:pStyle w:val="13"/>
        <w:jc w:val="center"/>
        <w:rPr>
          <w:sz w:val="32"/>
          <w:szCs w:val="32"/>
        </w:rPr>
      </w:pPr>
    </w:p>
    <w:p>
      <w:pPr>
        <w:pStyle w:val="13"/>
        <w:spacing w:line="540" w:lineRule="exact"/>
        <w:jc w:val="center"/>
        <w:rPr>
          <w:sz w:val="56"/>
          <w:szCs w:val="56"/>
        </w:rPr>
      </w:pPr>
    </w:p>
    <w:p>
      <w:pPr>
        <w:pStyle w:val="13"/>
        <w:spacing w:line="500" w:lineRule="exact"/>
        <w:jc w:val="both"/>
        <w:rPr>
          <w:b/>
          <w:sz w:val="36"/>
          <w:szCs w:val="28"/>
        </w:rPr>
      </w:pPr>
    </w:p>
    <w:p>
      <w:pPr>
        <w:pStyle w:val="13"/>
        <w:spacing w:line="500" w:lineRule="exact"/>
        <w:jc w:val="center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目录</w:t>
      </w:r>
    </w:p>
    <w:p>
      <w:pPr>
        <w:pStyle w:val="13"/>
        <w:spacing w:line="500" w:lineRule="exac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第一部分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hAnsi="黑体" w:cs="黑体"/>
          <w:b w:val="0"/>
          <w:bCs/>
          <w:sz w:val="28"/>
          <w:szCs w:val="28"/>
          <w:lang w:eastAsia="zh-CN"/>
        </w:rPr>
        <w:t>岳阳市群众艺术馆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概况</w:t>
      </w:r>
    </w:p>
    <w:p>
      <w:pPr>
        <w:pStyle w:val="13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一、部门职责</w:t>
      </w:r>
    </w:p>
    <w:p>
      <w:pPr>
        <w:pStyle w:val="13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二、机构设置</w:t>
      </w:r>
    </w:p>
    <w:p>
      <w:pPr>
        <w:pStyle w:val="13"/>
        <w:spacing w:line="500" w:lineRule="exac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第二部分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部门决算表</w:t>
      </w:r>
    </w:p>
    <w:p>
      <w:pPr>
        <w:pStyle w:val="13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一、收入支出决算总表</w:t>
      </w:r>
    </w:p>
    <w:p>
      <w:pPr>
        <w:pStyle w:val="13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二、收入决算表</w:t>
      </w:r>
    </w:p>
    <w:p>
      <w:pPr>
        <w:pStyle w:val="13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三、支出决算表</w:t>
      </w:r>
    </w:p>
    <w:p>
      <w:pPr>
        <w:pStyle w:val="13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四、财政拨款收入支出决算总表</w:t>
      </w:r>
    </w:p>
    <w:p>
      <w:pPr>
        <w:pStyle w:val="13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五、一般公共预算财政拨款支出决算表</w:t>
      </w:r>
    </w:p>
    <w:p>
      <w:pPr>
        <w:pStyle w:val="13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六、一般公共预算财政拨款基本支出决算明细表</w:t>
      </w:r>
    </w:p>
    <w:p>
      <w:pPr>
        <w:pStyle w:val="13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七、政府性基金预算财政拨款收入支出决算表</w:t>
      </w:r>
    </w:p>
    <w:p>
      <w:pPr>
        <w:pStyle w:val="13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八、国有资本经营预算财政拨款支出决算表</w:t>
      </w:r>
    </w:p>
    <w:p>
      <w:pPr>
        <w:pStyle w:val="13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九、财政拨款“三公”经费支出决算表</w:t>
      </w:r>
    </w:p>
    <w:p>
      <w:pPr>
        <w:pStyle w:val="13"/>
        <w:spacing w:line="500" w:lineRule="exac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第三部分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部门决算情况说明</w:t>
      </w:r>
    </w:p>
    <w:p>
      <w:pPr>
        <w:pStyle w:val="13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一、收入支出决算总体情况说明</w:t>
      </w:r>
    </w:p>
    <w:p>
      <w:pPr>
        <w:spacing w:line="500" w:lineRule="exact"/>
        <w:ind w:firstLine="700" w:firstLineChars="25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二、收入决算情况说明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三、支出决算情况说明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四、财政拨款收入支出决算总体情况说明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五、一般公共预算财政拨款支出决算情况说明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六、一般公共预算财政拨款基本支出决算情况说明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七、政府性基金预算收入支出决算情况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八、</w:t>
      </w:r>
      <w:r>
        <w:rPr>
          <w:rFonts w:hint="eastAsia" w:ascii="仿宋_GB2312" w:hAnsi="仿宋_GB2312" w:eastAsia="仿宋_GB2312" w:cs="仿宋_GB2312"/>
          <w:sz w:val="28"/>
          <w:szCs w:val="28"/>
        </w:rPr>
        <w:t>国有资本经营预算财政拨款支出决算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九、财政拨款三公经费支出决算情况说明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十、关于机关运行经费支出说明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十一、一般性支出情况说明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十二、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关于政府采购支出说明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  <w:t>十三、关于国有资产占用情况说明</w:t>
      </w:r>
    </w:p>
    <w:p>
      <w:pPr>
        <w:pStyle w:val="13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  <w:t>十四、</w:t>
      </w:r>
      <w:r>
        <w:rPr>
          <w:rFonts w:hint="eastAsia" w:ascii="仿宋_GB2312" w:hAnsi="仿宋_GB2312" w:eastAsia="仿宋_GB2312" w:cs="仿宋_GB2312"/>
          <w:sz w:val="28"/>
          <w:szCs w:val="28"/>
        </w:rPr>
        <w:t>关于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202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年度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预算</w:t>
      </w:r>
      <w:r>
        <w:rPr>
          <w:rFonts w:hint="eastAsia" w:ascii="仿宋_GB2312" w:hAnsi="仿宋_GB2312" w:eastAsia="仿宋_GB2312" w:cs="仿宋_GB2312"/>
          <w:sz w:val="28"/>
          <w:szCs w:val="28"/>
        </w:rPr>
        <w:t>绩效情况的说明</w:t>
      </w:r>
    </w:p>
    <w:p>
      <w:pPr>
        <w:pStyle w:val="13"/>
        <w:spacing w:line="500" w:lineRule="exac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第四部分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名词解释</w:t>
      </w:r>
    </w:p>
    <w:p>
      <w:pPr>
        <w:pStyle w:val="13"/>
        <w:spacing w:line="500" w:lineRule="exact"/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</w:t>
      </w:r>
      <w:r>
        <w:rPr>
          <w:rFonts w:hint="eastAsia" w:hAnsi="黑体" w:cs="黑体"/>
          <w:b w:val="0"/>
          <w:bCs/>
          <w:sz w:val="28"/>
          <w:szCs w:val="28"/>
          <w:lang w:eastAsia="zh-CN"/>
        </w:rPr>
        <w:t>五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部分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hAnsi="黑体" w:cs="黑体"/>
          <w:b w:val="0"/>
          <w:bCs/>
          <w:sz w:val="28"/>
          <w:szCs w:val="28"/>
          <w:lang w:eastAsia="zh-CN"/>
        </w:rPr>
        <w:t>附件</w:t>
      </w: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 xml:space="preserve">第一部分 </w:t>
      </w: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  <w:lang w:eastAsia="zh-CN"/>
        </w:rPr>
        <w:t>岳阳市群众艺术馆</w:t>
      </w: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概况</w:t>
      </w:r>
    </w:p>
    <w:p>
      <w:pPr>
        <w:pStyle w:val="8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pStyle w:val="4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pStyle w:val="8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pStyle w:val="4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pStyle w:val="14"/>
        <w:numPr>
          <w:ilvl w:val="0"/>
          <w:numId w:val="1"/>
        </w:numPr>
        <w:ind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部门职责</w:t>
      </w:r>
    </w:p>
    <w:p>
      <w:pPr>
        <w:ind w:firstLine="640" w:firstLineChars="200"/>
        <w:jc w:val="left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</w:rPr>
        <w:t>（一）</w:t>
      </w:r>
      <w:r>
        <w:rPr>
          <w:rFonts w:hint="eastAsia" w:ascii="宋体" w:hAnsi="宋体"/>
          <w:sz w:val="32"/>
          <w:szCs w:val="32"/>
          <w:lang w:eastAsia="zh-CN"/>
        </w:rPr>
        <w:t>承担全市的文艺培训、群众文化活动组织、群众文艺创作及各类社会文化活动辅导、群众文艺理论研究。</w:t>
      </w:r>
    </w:p>
    <w:p>
      <w:pPr>
        <w:keepNext/>
        <w:keepLines/>
        <w:shd w:val="clear" w:color="auto" w:fill="FFFFFF"/>
        <w:spacing w:beforeLines="0" w:afterLines="0"/>
        <w:ind w:firstLine="640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（二）</w:t>
      </w:r>
      <w:r>
        <w:rPr>
          <w:rFonts w:hint="eastAsia" w:ascii="宋体" w:hAnsi="宋体"/>
          <w:sz w:val="32"/>
          <w:szCs w:val="32"/>
          <w:lang w:eastAsia="zh-CN"/>
        </w:rPr>
        <w:t>编辑出版综合性文艺刊物等全民艺术普及工作。</w:t>
      </w:r>
    </w:p>
    <w:p>
      <w:pPr>
        <w:widowControl/>
        <w:spacing w:line="600" w:lineRule="exact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二、机构设置及决算单位构成</w:t>
      </w:r>
    </w:p>
    <w:p>
      <w:pPr>
        <w:widowControl/>
        <w:spacing w:line="600" w:lineRule="exact"/>
        <w:ind w:firstLine="960" w:firstLineChars="300"/>
        <w:rPr>
          <w:rFonts w:hint="eastAsia"/>
        </w:rPr>
      </w:pP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（一）</w:t>
      </w:r>
      <w:r>
        <w:rPr>
          <w:rFonts w:hint="eastAsia" w:ascii="宋体" w:hAnsi="宋体"/>
          <w:sz w:val="32"/>
          <w:szCs w:val="32"/>
          <w:lang w:eastAsia="zh-CN"/>
        </w:rPr>
        <w:t>内设机构设置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。</w:t>
      </w:r>
      <w:r>
        <w:rPr>
          <w:rFonts w:hint="eastAsia" w:ascii="宋体" w:hAnsi="宋体"/>
          <w:bCs/>
          <w:kern w:val="0"/>
          <w:sz w:val="32"/>
          <w:szCs w:val="32"/>
          <w:lang w:eastAsia="zh-CN"/>
        </w:rPr>
        <w:t>岳阳市群众艺术馆</w:t>
      </w:r>
      <w:r>
        <w:rPr>
          <w:rFonts w:hint="eastAsia" w:ascii="宋体" w:hAnsi="宋体"/>
          <w:bCs/>
          <w:kern w:val="0"/>
          <w:sz w:val="32"/>
          <w:szCs w:val="32"/>
        </w:rPr>
        <w:t>内设机构包括：</w:t>
      </w:r>
      <w:r>
        <w:rPr>
          <w:rFonts w:hint="eastAsia" w:ascii="宋体" w:hAnsi="宋体"/>
          <w:bCs/>
          <w:kern w:val="0"/>
          <w:sz w:val="32"/>
          <w:szCs w:val="32"/>
          <w:lang w:val="en-US" w:eastAsia="zh-CN"/>
        </w:rPr>
        <w:t>办公室、活动部、培训部、数字文化馆、《艺术岳阳》编辑部。</w:t>
      </w:r>
    </w:p>
    <w:p>
      <w:pPr>
        <w:ind w:firstLine="960" w:firstLineChars="300"/>
        <w:jc w:val="left"/>
        <w:rPr>
          <w:rFonts w:ascii="仿宋_GB2312" w:eastAsia="仿宋_GB2312" w:hAnsiTheme="minorEastAsia"/>
          <w:sz w:val="28"/>
          <w:szCs w:val="32"/>
        </w:rPr>
      </w:pP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（二）</w:t>
      </w:r>
      <w:r>
        <w:rPr>
          <w:rFonts w:hint="eastAsia" w:ascii="宋体" w:hAnsi="宋体"/>
          <w:sz w:val="32"/>
          <w:szCs w:val="32"/>
          <w:lang w:eastAsia="zh-CN"/>
        </w:rPr>
        <w:t>决算单位构成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。</w:t>
      </w:r>
      <w:r>
        <w:rPr>
          <w:rFonts w:hint="eastAsia" w:ascii="宋体" w:hAnsi="宋体"/>
          <w:sz w:val="32"/>
          <w:szCs w:val="32"/>
          <w:lang w:eastAsia="zh-CN"/>
        </w:rPr>
        <w:t>本单位无独立核算的下属单位，</w:t>
      </w:r>
      <w:r>
        <w:rPr>
          <w:rFonts w:hint="eastAsia" w:ascii="宋体" w:hAnsi="宋体"/>
          <w:sz w:val="32"/>
          <w:szCs w:val="32"/>
          <w:lang w:val="en-US" w:eastAsia="zh-CN"/>
        </w:rPr>
        <w:t>2023年度部门决算汇总公开单位仅包括</w:t>
      </w:r>
      <w:r>
        <w:rPr>
          <w:rFonts w:hint="eastAsia" w:ascii="宋体" w:hAnsi="宋体"/>
          <w:sz w:val="32"/>
          <w:szCs w:val="32"/>
          <w:lang w:eastAsia="zh-CN"/>
        </w:rPr>
        <w:t>岳阳市群众艺术馆本级。</w:t>
      </w:r>
    </w:p>
    <w:p/>
    <w:p>
      <w:pPr>
        <w:pStyle w:val="8"/>
      </w:pPr>
    </w:p>
    <w:p>
      <w:pPr>
        <w:pStyle w:val="4"/>
      </w:pPr>
    </w:p>
    <w:p/>
    <w:p>
      <w:pPr>
        <w:pStyle w:val="8"/>
      </w:pPr>
    </w:p>
    <w:p>
      <w:pPr>
        <w:pStyle w:val="4"/>
      </w:pPr>
    </w:p>
    <w:p/>
    <w:p>
      <w:pPr>
        <w:pStyle w:val="8"/>
      </w:pPr>
    </w:p>
    <w:p>
      <w:pPr>
        <w:pStyle w:val="4"/>
      </w:pPr>
    </w:p>
    <w:p/>
    <w:p>
      <w:pPr>
        <w:pStyle w:val="8"/>
      </w:pPr>
    </w:p>
    <w:p>
      <w:pPr>
        <w:pStyle w:val="4"/>
      </w:pPr>
    </w:p>
    <w:p/>
    <w:p>
      <w:pPr>
        <w:pStyle w:val="8"/>
      </w:pPr>
    </w:p>
    <w:p>
      <w:pPr>
        <w:pStyle w:val="4"/>
      </w:pPr>
    </w:p>
    <w:p/>
    <w:p>
      <w:pPr>
        <w:pStyle w:val="8"/>
      </w:pPr>
    </w:p>
    <w:p>
      <w:pPr>
        <w:pStyle w:val="4"/>
      </w:pPr>
    </w:p>
    <w:p/>
    <w:p>
      <w:pPr>
        <w:pStyle w:val="8"/>
      </w:pPr>
    </w:p>
    <w:p>
      <w:pPr>
        <w:pStyle w:val="4"/>
      </w:pPr>
    </w:p>
    <w:p/>
    <w:p>
      <w:pPr>
        <w:pStyle w:val="8"/>
      </w:pPr>
    </w:p>
    <w:p>
      <w:pPr>
        <w:pStyle w:val="4"/>
      </w:pPr>
    </w:p>
    <w:p/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第二部分</w:t>
      </w: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部门决算表</w:t>
      </w:r>
    </w:p>
    <w:p>
      <w:pPr>
        <w:pStyle w:val="13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  <w:t>（见附件）</w:t>
      </w:r>
    </w:p>
    <w:p>
      <w:pPr>
        <w:pStyle w:val="13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>
      <w:pPr>
        <w:pStyle w:val="13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>
      <w:pPr>
        <w:pStyle w:val="13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>
      <w:pPr>
        <w:pStyle w:val="13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>
      <w:pPr>
        <w:pStyle w:val="13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>
      <w:pPr>
        <w:pStyle w:val="13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>
      <w:pPr>
        <w:pStyle w:val="13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>
      <w:pPr>
        <w:pStyle w:val="13"/>
        <w:jc w:val="both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sz w:val="72"/>
          <w:szCs w:val="72"/>
        </w:rPr>
        <w:t>第三部分</w:t>
      </w: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  <w:r>
        <w:rPr>
          <w:rFonts w:hint="eastAsia" w:ascii="方正小标宋_GBK" w:hAnsi="方正小标宋_GBK" w:eastAsia="方正小标宋_GBK" w:cs="方正小标宋_GBK"/>
          <w:sz w:val="70"/>
          <w:szCs w:val="70"/>
        </w:rPr>
        <w:t>202</w:t>
      </w:r>
      <w:r>
        <w:rPr>
          <w:rFonts w:hint="eastAsia" w:ascii="方正小标宋_GBK" w:hAnsi="方正小标宋_GBK" w:eastAsia="方正小标宋_GBK" w:cs="方正小标宋_GBK"/>
          <w:sz w:val="70"/>
          <w:szCs w:val="70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70"/>
          <w:szCs w:val="70"/>
        </w:rPr>
        <w:t>年度部门决算情况说明</w:t>
      </w: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说明：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由于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决算编制时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数据</w:t>
      </w:r>
      <w:r>
        <w:rPr>
          <w:rFonts w:hint="eastAsia" w:ascii="仿宋_GB2312" w:hAnsi="仿宋_GB2312" w:eastAsia="仿宋_GB2312" w:cs="仿宋_GB2312"/>
          <w:sz w:val="32"/>
          <w:szCs w:val="32"/>
        </w:rPr>
        <w:t>明细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至“金额单位：元</w:t>
      </w:r>
      <w:r>
        <w:rPr>
          <w:rFonts w:hint="eastAsia" w:ascii="仿宋_GB2312" w:hAnsi="仿宋_GB2312" w:eastAsia="仿宋_GB2312" w:cs="仿宋_GB2312"/>
          <w:sz w:val="32"/>
          <w:szCs w:val="32"/>
        </w:rPr>
        <w:t>”，而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本套部门决算文字说明</w:t>
      </w:r>
      <w:r>
        <w:rPr>
          <w:rFonts w:hint="eastAsia" w:ascii="仿宋_GB2312" w:hAnsi="仿宋_GB2312" w:eastAsia="仿宋_GB2312" w:cs="仿宋_GB2312"/>
          <w:sz w:val="32"/>
          <w:szCs w:val="32"/>
        </w:rPr>
        <w:t>和公开表格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数据</w:t>
      </w:r>
      <w:r>
        <w:rPr>
          <w:rFonts w:hint="eastAsia" w:ascii="仿宋_GB2312" w:hAnsi="仿宋_GB2312" w:eastAsia="仿宋_GB2312" w:cs="仿宋_GB2312"/>
          <w:sz w:val="32"/>
          <w:szCs w:val="32"/>
        </w:rPr>
        <w:t>取数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转换为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金额单位：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万元”，可能导致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以下文字说明中的各项数据取数以及公开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表格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中的各项数据取数之间存在</w:t>
      </w:r>
      <w:r>
        <w:rPr>
          <w:rFonts w:hint="eastAsia" w:ascii="仿宋_GB2312" w:hAnsi="仿宋_GB2312" w:eastAsia="仿宋_GB2312" w:cs="仿宋_GB2312"/>
          <w:sz w:val="32"/>
          <w:szCs w:val="32"/>
        </w:rPr>
        <w:t>0.01的尾数差异。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2、以下文字说明中，部分科目由于预算数为0，无法计算完成年初预算的百分比，故未描述“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完成年初预算的XX%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”。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一、收入支出决算总体情况说明</w:t>
      </w:r>
    </w:p>
    <w:p>
      <w:pPr>
        <w:pStyle w:val="13"/>
        <w:ind w:firstLine="640" w:firstLineChars="200"/>
        <w:rPr>
          <w:rFonts w:hint="eastAsia" w:ascii="楷体" w:hAnsi="楷体" w:eastAsia="楷体" w:cs="楷体"/>
          <w:i/>
          <w:i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年度收、支总计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490.66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万元。与上年528.4万元相比，减少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37.74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7.14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%，主要是因为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2023年预算项目较上年有减少。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二、收入决算情况说明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年度收入合计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465.86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万元，其中：财政拨款收入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465.72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99.97</w:t>
      </w:r>
      <w:r>
        <w:rPr>
          <w:rFonts w:hint="eastAsia" w:ascii="仿宋_GB2312" w:hAnsi="仿宋_GB2312" w:eastAsia="仿宋_GB2312" w:cs="仿宋_GB2312"/>
          <w:sz w:val="32"/>
          <w:szCs w:val="32"/>
        </w:rPr>
        <w:t>%；上级补助收入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万元；事业收入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万元；经营收入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万元；附属单位上缴收入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万元；其他收入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0.14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0.03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三、支出决算情况说明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年度支出合计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490.67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415.11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84.6</w:t>
      </w:r>
      <w:r>
        <w:rPr>
          <w:rFonts w:hint="eastAsia" w:ascii="仿宋_GB2312" w:hAnsi="仿宋_GB2312" w:eastAsia="仿宋_GB2312" w:cs="仿宋_GB2312"/>
          <w:sz w:val="32"/>
          <w:szCs w:val="32"/>
        </w:rPr>
        <w:t>%；项目支出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75.56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15.4</w:t>
      </w:r>
      <w:r>
        <w:rPr>
          <w:rFonts w:hint="eastAsia" w:ascii="仿宋_GB2312" w:hAnsi="仿宋_GB2312" w:eastAsia="仿宋_GB2312" w:cs="仿宋_GB2312"/>
          <w:sz w:val="32"/>
          <w:szCs w:val="32"/>
        </w:rPr>
        <w:t>%；上缴上级支出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万元；经营支出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万元；对附属单位补助支出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四、财政拨款收入支出决算总体情况说明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default" w:ascii="楷体" w:hAnsi="楷体" w:eastAsia="楷体" w:cs="楷体"/>
          <w:i/>
          <w:i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年度财政拨款收、支总计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465.72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万元，与上年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372.94万元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相比，增加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92.78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万元,增长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24.88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%，主要是因为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项目经费增加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五、一般公共预算财政拨款支出决算情况说明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（一）一般公共预算财政拨款支出决算总体情况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年度财政拨款支出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465.72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万元，占本年支出合计的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94.92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%，与上年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372.94万元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相比，财政拨款支出增加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92.78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24.88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%，主要是因为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项目经费增加。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（二）一般公共预算财政拨款支出决算结构情况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年度财政拨款支出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465.72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万元，主要用于以下方面：一般公共服务（类）支出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297.14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63.8</w:t>
      </w:r>
      <w:r>
        <w:rPr>
          <w:rFonts w:hint="eastAsia" w:ascii="仿宋_GB2312" w:hAnsi="仿宋_GB2312" w:eastAsia="仿宋_GB2312" w:cs="仿宋_GB2312"/>
          <w:sz w:val="32"/>
          <w:szCs w:val="32"/>
        </w:rPr>
        <w:t>%；社会保障和就业支出（类）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127.4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27.36</w:t>
      </w:r>
      <w:r>
        <w:rPr>
          <w:rFonts w:hint="eastAsia" w:ascii="仿宋_GB2312" w:hAnsi="仿宋_GB2312" w:eastAsia="仿宋_GB2312" w:cs="仿宋_GB2312"/>
          <w:sz w:val="32"/>
          <w:szCs w:val="32"/>
        </w:rPr>
        <w:t>%;卫生健康支出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（类）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22.17万元，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4.76</w:t>
      </w:r>
      <w:r>
        <w:rPr>
          <w:rFonts w:hint="eastAsia" w:ascii="仿宋_GB2312" w:hAnsi="仿宋_GB2312" w:eastAsia="仿宋_GB2312" w:cs="仿宋_GB2312"/>
          <w:sz w:val="32"/>
          <w:szCs w:val="32"/>
        </w:rPr>
        <w:t>%；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住房保障支出（类）19.01万元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4.08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（三）一般公共预算财政拨款支出决算具体情况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年度财政拨款支出年初预算数为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338.16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465.72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137.72</w:t>
      </w:r>
      <w:r>
        <w:rPr>
          <w:rFonts w:hint="eastAsia" w:ascii="仿宋_GB2312" w:hAnsi="仿宋_GB2312" w:eastAsia="仿宋_GB2312" w:cs="仿宋_GB2312"/>
          <w:sz w:val="32"/>
          <w:szCs w:val="32"/>
        </w:rPr>
        <w:t>%，其中：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文化旅游体育与传媒支出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（类）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文化和旅游</w:t>
      </w:r>
      <w:r>
        <w:rPr>
          <w:rFonts w:hint="eastAsia" w:ascii="仿宋_GB2312" w:hAnsi="仿宋_GB2312" w:eastAsia="仿宋_GB2312" w:cs="仿宋_GB2312"/>
          <w:sz w:val="32"/>
          <w:szCs w:val="32"/>
        </w:rPr>
        <w:t>（款）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一般行政管理事务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（项）。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7.45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7.45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%，决算数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等于</w:t>
      </w:r>
      <w:r>
        <w:rPr>
          <w:rFonts w:hint="eastAsia" w:ascii="仿宋_GB2312" w:hAnsi="仿宋_GB2312" w:eastAsia="仿宋_GB2312" w:cs="仿宋_GB2312"/>
          <w:sz w:val="32"/>
          <w:szCs w:val="32"/>
        </w:rPr>
        <w:t>年初预算数的主要原因是：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经费水平与上年基本持平。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文化旅游体育与传媒支出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（类）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文化和旅游</w:t>
      </w:r>
      <w:r>
        <w:rPr>
          <w:rFonts w:hint="eastAsia" w:ascii="仿宋_GB2312" w:hAnsi="仿宋_GB2312" w:eastAsia="仿宋_GB2312" w:cs="仿宋_GB2312"/>
          <w:sz w:val="32"/>
          <w:szCs w:val="32"/>
        </w:rPr>
        <w:t>（款）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群众文化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（项）。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107.45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208.97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194.48</w:t>
      </w:r>
      <w:r>
        <w:rPr>
          <w:rFonts w:hint="eastAsia" w:ascii="仿宋_GB2312" w:hAnsi="仿宋_GB2312" w:eastAsia="仿宋_GB2312" w:cs="仿宋_GB2312"/>
          <w:sz w:val="32"/>
          <w:szCs w:val="32"/>
        </w:rPr>
        <w:t>%，决算数大于年初预算数的主要原因是：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经费较上年增加。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文化旅游体育与传媒支出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（类）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文化和旅游</w:t>
      </w:r>
      <w:r>
        <w:rPr>
          <w:rFonts w:hint="eastAsia" w:ascii="仿宋_GB2312" w:hAnsi="仿宋_GB2312" w:eastAsia="仿宋_GB2312" w:cs="仿宋_GB2312"/>
          <w:sz w:val="32"/>
          <w:szCs w:val="32"/>
        </w:rPr>
        <w:t>（款）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其他文化和旅游支出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（项）。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63.91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63.91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%，决算数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等于</w:t>
      </w:r>
      <w:r>
        <w:rPr>
          <w:rFonts w:hint="eastAsia" w:ascii="仿宋_GB2312" w:hAnsi="仿宋_GB2312" w:eastAsia="仿宋_GB2312" w:cs="仿宋_GB2312"/>
          <w:sz w:val="32"/>
          <w:szCs w:val="32"/>
        </w:rPr>
        <w:t>年初预算数的主要原因是：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经费水平与上年基本持平。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文化旅游体育与传媒支出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（类）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其他文化旅游体育与传媒支出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（款）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其他文化旅游体育与传媒支出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（项）。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16.82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16.82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%，决算数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等于</w:t>
      </w:r>
      <w:r>
        <w:rPr>
          <w:rFonts w:hint="eastAsia" w:ascii="仿宋_GB2312" w:hAnsi="仿宋_GB2312" w:eastAsia="仿宋_GB2312" w:cs="仿宋_GB2312"/>
          <w:sz w:val="32"/>
          <w:szCs w:val="32"/>
        </w:rPr>
        <w:t>年初预算数的主要原因是：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经费水平与上年基本持平。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社会保障和就业支出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（类）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行政事业单位养老支出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（款）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事业单位离退休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（项）。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77.97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99.93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128.18</w:t>
      </w:r>
      <w:r>
        <w:rPr>
          <w:rFonts w:hint="eastAsia" w:ascii="仿宋_GB2312" w:hAnsi="仿宋_GB2312" w:eastAsia="仿宋_GB2312" w:cs="仿宋_GB2312"/>
          <w:sz w:val="32"/>
          <w:szCs w:val="32"/>
        </w:rPr>
        <w:t>%，决算数大于年初预算数的主要原因是：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经费较上年增加。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社会保障和就业支出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（类）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行政事业单位养老支出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（款）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事机关事务单位基本养老保险缴费支出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（项）。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19.01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19.01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%，决算数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等与</w:t>
      </w:r>
      <w:r>
        <w:rPr>
          <w:rFonts w:hint="eastAsia" w:ascii="仿宋_GB2312" w:hAnsi="仿宋_GB2312" w:eastAsia="仿宋_GB2312" w:cs="仿宋_GB2312"/>
          <w:sz w:val="32"/>
          <w:szCs w:val="32"/>
        </w:rPr>
        <w:t>年初预算数的主要原因是：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经费水平与上年基本持平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社会保障和就业支出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（类）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抚恤</w:t>
      </w:r>
      <w:r>
        <w:rPr>
          <w:rFonts w:hint="eastAsia" w:ascii="仿宋_GB2312" w:hAnsi="仿宋_GB2312" w:eastAsia="仿宋_GB2312" w:cs="仿宋_GB2312"/>
          <w:sz w:val="32"/>
          <w:szCs w:val="32"/>
        </w:rPr>
        <w:t>（款）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其他优抚支出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（项）。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4.08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万元，决算数大于年初预算数的主要原因是：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退休人员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去世未纳入预算。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社会保障和就业支出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（类）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其他社会保障和就业支出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（款）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其他社会保障和就业支出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（项）。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3.67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3.67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%，决算数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等于</w:t>
      </w:r>
      <w:r>
        <w:rPr>
          <w:rFonts w:hint="eastAsia" w:ascii="仿宋_GB2312" w:hAnsi="仿宋_GB2312" w:eastAsia="仿宋_GB2312" w:cs="仿宋_GB2312"/>
          <w:sz w:val="32"/>
          <w:szCs w:val="32"/>
        </w:rPr>
        <w:t>年初预算数的主要原因是：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2023年其他社会保障和就业支出严格按照预算执行。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卫生健康支出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（类）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行政事业单位医疗</w:t>
      </w:r>
      <w:r>
        <w:rPr>
          <w:rFonts w:hint="eastAsia" w:ascii="仿宋_GB2312" w:hAnsi="仿宋_GB2312" w:eastAsia="仿宋_GB2312" w:cs="仿宋_GB2312"/>
          <w:sz w:val="32"/>
          <w:szCs w:val="32"/>
        </w:rPr>
        <w:t>（款）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事业单位医疗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（项）。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22.17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22.17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%，决算数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等于</w:t>
      </w:r>
      <w:r>
        <w:rPr>
          <w:rFonts w:hint="eastAsia" w:ascii="仿宋_GB2312" w:hAnsi="仿宋_GB2312" w:eastAsia="仿宋_GB2312" w:cs="仿宋_GB2312"/>
          <w:sz w:val="32"/>
          <w:szCs w:val="32"/>
        </w:rPr>
        <w:t>年初预算数的主要原因是：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2023年事业单位医疗严格按照预算执行。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住房保障支出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（类）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住房改革支出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（款）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住房公积金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（项）。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19.01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19.01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%，决算数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等于</w:t>
      </w:r>
      <w:r>
        <w:rPr>
          <w:rFonts w:hint="eastAsia" w:ascii="仿宋_GB2312" w:hAnsi="仿宋_GB2312" w:eastAsia="仿宋_GB2312" w:cs="仿宋_GB2312"/>
          <w:sz w:val="32"/>
          <w:szCs w:val="32"/>
        </w:rPr>
        <w:t>年初预算数的主要原因是：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2023年住房公积金严格按照预算执行。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六、一般公共预算财政拨款基本支出决算情况说明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年度财政拨款基本支出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390.17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人员经费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358.46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万元，占基本支出的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91.87</w:t>
      </w:r>
      <w:r>
        <w:rPr>
          <w:rFonts w:hint="eastAsia" w:ascii="仿宋_GB2312" w:hAnsi="仿宋_GB2312" w:eastAsia="仿宋_GB2312" w:cs="仿宋_GB2312"/>
          <w:sz w:val="32"/>
          <w:szCs w:val="32"/>
        </w:rPr>
        <w:t>%,主要包括基本工资、津贴补贴、奖金、伙食补助费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公用经费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31.7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万元，占基本支出的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8.13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%，主要包括办公费、印刷费、咨询费、手续费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、租赁费、物业管理费等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七、政府性基金预算收入支出决算情况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i w:val="0"/>
          <w:iCs/>
          <w:color w:val="FF0000"/>
          <w:kern w:val="0"/>
          <w:sz w:val="36"/>
          <w:szCs w:val="36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2023年度政府性基金预算财政拨款收入0万元；年初结转和结余0万元；支出0万元，其中基本支出0万元，项目支出0万元；年末结转和结余0万元。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-SA"/>
        </w:rPr>
        <w:t>八、国有资本经营预算财政拨款支出决算情况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2023年度国有资本经营预算财政拨款收入0万元；年初结转和结余0万；支出0万元，其中：基本支出0万元，项目支出0万元；年末结转和结余0万元。2、有数据的必须按项级科目分析。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eastAsia" w:hAnsi="黑体" w:cs="黑体"/>
          <w:b w:val="0"/>
          <w:bCs/>
          <w:sz w:val="32"/>
          <w:szCs w:val="32"/>
          <w:lang w:eastAsia="zh-CN"/>
        </w:rPr>
        <w:t>九、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财政拨款三公经费支出决算情况说明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（一）“三公”经费财政拨款支出决算总体情况说明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“三公”经费财政拨款支出预算为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1.62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1.62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%，决算数小于预算数的主要原因是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公务用车运行维护费保险及维修费在12月才形成，未能及时在系统关账之前完成支付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与上年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相比增加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1.62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公务用车维护费</w:t>
      </w:r>
      <w:r>
        <w:rPr>
          <w:rFonts w:hint="eastAsia" w:ascii="仿宋_GB2312" w:hAnsi="仿宋_GB2312" w:eastAsia="仿宋_GB2312" w:cs="仿宋_GB2312"/>
          <w:sz w:val="32"/>
          <w:szCs w:val="32"/>
        </w:rPr>
        <w:t>，增长主要原因是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2023年增加了公务用车运行维护费</w:t>
      </w:r>
      <w:r>
        <w:rPr>
          <w:rFonts w:hint="eastAsia" w:ascii="仿宋_GB2312" w:hAnsi="仿宋_GB2312" w:eastAsia="仿宋_GB2312" w:cs="仿宋_GB2312"/>
          <w:sz w:val="32"/>
          <w:szCs w:val="32"/>
        </w:rPr>
        <w:t>。其中：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b w:val="0"/>
          <w:bCs/>
          <w:color w:val="FF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因公出国（境）费支出预算为0万元，支出决算为0万元，决算数等于预算数，主要原因是我单位严格按预算执行决算；与上年一致，无增减变动，主要原因是未安排因公出国（境）活动。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FF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 xml:space="preserve">公务接待费支出预算为0万元，支出决算为0万元，决算数等于预算数，主要原因是严格执行中央八项规定；与上年一致，无增减变动，主要原因是按有关政策厉行节约，严控公务接待支出。 </w:t>
      </w:r>
      <w:r>
        <w:rPr>
          <w:rFonts w:hint="eastAsia" w:ascii="仿宋_GB2312" w:hAnsi="仿宋_GB2312" w:eastAsia="仿宋_GB2312" w:cs="仿宋_GB2312"/>
          <w:b w:val="0"/>
          <w:bCs/>
          <w:color w:val="FF0000"/>
          <w:kern w:val="0"/>
          <w:sz w:val="32"/>
          <w:szCs w:val="32"/>
          <w:lang w:val="en-US" w:eastAsia="zh-CN" w:bidi="ar-SA"/>
        </w:rPr>
        <w:t xml:space="preserve"> 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FF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公务用车购置费支出预算为0万元，支出决算为0万元，决算数等于预算数，主要原因是我单位严格按预算执行决算；与上年一致，无增减变动，主要原因是两年均未购置公务用车。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公务用车运行维护费支出预算为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1.62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1.62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%，决算数小于预算数的主要原因是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公务用车运行维护费保险及维修费在12月才形成，未能及时在系统关账之前完成支付</w:t>
      </w:r>
      <w:r>
        <w:rPr>
          <w:rFonts w:hint="eastAsia" w:ascii="仿宋_GB2312" w:hAnsi="仿宋_GB2312" w:eastAsia="仿宋_GB2312" w:cs="仿宋_GB2312"/>
          <w:sz w:val="32"/>
          <w:szCs w:val="32"/>
        </w:rPr>
        <w:t>，与上年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相比增加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1.62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万元,增长的主要原因是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上年未发生公务用车运行维护费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（二）“三公”经费财政拨款支出决算具体情况说明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年度“三公”经费财政拨款支出决算中，公务接待费支出决算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万元，因公出国（境）费支出决算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万元，公务用车购置费及运行维护费支出决算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1.62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%。其中：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b/>
          <w:bCs/>
          <w:i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因公出国（境）费支出决算为0万元，全年安排因公出国（境）团组0个，累计0人次，我单位2023年度无因公出国（境）费支出。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公务接待费支出决算为0万元，全年共接待来访团组0个、来宾0人次，我单位2023年度无公务接待费支出。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b/>
          <w:bCs/>
          <w:i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3、公务用车购置费及运行维护费支出决算为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1.62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万元，其中：公务用车购置费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，当年没有购置公务用车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公务用车运行维护费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1.62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公务用车年检、维修保养、加油等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支出，截止202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年12月31日，我单位开支财政拨款的公务用车保有量为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辆。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b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/>
          <w:color w:val="auto"/>
          <w:sz w:val="32"/>
          <w:szCs w:val="32"/>
          <w:lang w:eastAsia="zh-CN"/>
        </w:rPr>
        <w:t>十</w:t>
      </w:r>
      <w:r>
        <w:rPr>
          <w:rFonts w:hint="eastAsia" w:ascii="Times New Roman" w:hAnsi="Times New Roman" w:eastAsia="仿宋_GB2312"/>
          <w:b/>
          <w:color w:val="auto"/>
          <w:sz w:val="32"/>
          <w:szCs w:val="32"/>
        </w:rPr>
        <w:t>、关于机关运行经费支出说明</w:t>
      </w:r>
    </w:p>
    <w:p>
      <w:pPr>
        <w:pStyle w:val="13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本单位为事业单位，按照机关运行经费的口径，本年度机关运行经费为0。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十</w:t>
      </w:r>
      <w:r>
        <w:rPr>
          <w:rFonts w:hint="eastAsia" w:hAnsi="黑体" w:cs="黑体"/>
          <w:b w:val="0"/>
          <w:bCs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、一般性支出情况说明</w:t>
      </w:r>
    </w:p>
    <w:p>
      <w:pPr>
        <w:pStyle w:val="13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本单位无会议费的预算和支出决算数；本单位无培训费的预算和支出决算数；本单位无举办节庆、晚会、论坛、赛事等活动的预算和支出决算数。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十</w:t>
      </w:r>
      <w:r>
        <w:rPr>
          <w:rFonts w:hint="eastAsia" w:hAnsi="黑体" w:cs="黑体"/>
          <w:b w:val="0"/>
          <w:bCs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、关于政府采购支出说明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部门2023年度政府采购支出总额82.36万元，其中：政府采购货物支出25.88万元、政府采购工程支出0万元、政府采购服务支出56.48万元。授予中小企业合同金额82.36万元（由于预算数为0，故无法计算占政府采购支出总额的比重），其中：授予小微企业合同金额63.26万元（由于预算数为0，故无法计算占授予中小企业合同金额的比重）。货物采购授予中小企业合同金额占货物支出金额的比重，工程采购授予中小企业合同金额占工程支出金额的比重，服务采购授予中小企业合同金额占服务支出金额的比重，由于各项预算数为0，故无法计算各项占比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十</w:t>
      </w:r>
      <w:r>
        <w:rPr>
          <w:rFonts w:hint="eastAsia" w:hAnsi="黑体" w:cs="黑体"/>
          <w:b w:val="0"/>
          <w:bCs/>
          <w:color w:val="auto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、关于国有资产占用情况说明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截至2023年12月31日，本单位共有车辆1辆，其中，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副部（省）级及以上领导用车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机要通信用车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辆、应急保障用车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辆、执法执勤用车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辆、特种专业技术用车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离退休干部服务用车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辆、其他用车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辆；单位价值100万元以上设备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（不含车辆）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台（套）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十</w:t>
      </w:r>
      <w:r>
        <w:rPr>
          <w:rFonts w:hint="eastAsia" w:hAnsi="黑体" w:cs="黑体"/>
          <w:b w:val="0"/>
          <w:bCs/>
          <w:color w:val="auto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、关于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年度</w:t>
      </w:r>
      <w:r>
        <w:rPr>
          <w:rFonts w:hint="eastAsia" w:hAnsi="黑体" w:cs="黑体"/>
          <w:b w:val="0"/>
          <w:bCs/>
          <w:color w:val="auto"/>
          <w:sz w:val="32"/>
          <w:szCs w:val="32"/>
          <w:lang w:eastAsia="zh-CN"/>
        </w:rPr>
        <w:t>预算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绩效情况的说明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（一）绩效管理工作开展情况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根据预算绩效管理要求，我们组织对2023年度整体支出和项目资金实施了全覆盖性的绩效评价，撰写了绩效自评报告。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组织开展整体支出绩效评价，涉及一般公共预算支出465.72万元，政府性基金预算支出0万元，国有资本经营预算支出0万元。从评价情况来看，整体支出绩效评价中，2023年整体支出490.67万元，其中：基本支出415.11万元，项目支出75.56万元，本单位整体支出绩效自评综合评分99分，评价结果等次为优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组织对一般公共预算项目支出全面开展绩效自评，项目3个，共涉及资金52万元，占一般公共预算项目支出总额的68.82%。组织对政府性基金预算项目支出开展绩效自评，项目0个，共涉及资金0万元。组织对国有资本经营预算项目支出开展绩效自评，项目0个，共涉及资金0万元。从评价情况来看，项目绩效自评得分99分，评价结果等次为优秀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部门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（单位）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整体支出绩效情况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根据年初设定的绩效目标，绩效自评得分为99分。全年预算数为465.72万元，执行数为490.66万元，完成预算的105.36%。绩效目标完成情况：一是群文活动、培训及免费开放工作方面，完成了在全市范围内开展了“我们的中国梦”——送书画进万家“迎新春·送福送春联”文化志愿服务活动；二是数字文化馆数字化服务，推出线上春节特别活动——《文艺资源云展播》，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 w:bidi="ar-SA"/>
        </w:rPr>
        <w:t>书法艺术普及课堂——《徐驰老师的书法小课堂》等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；三是高雅艺术惠民演出，成功举办各类文艺演出活动75场次；四是圆满完成了会务接待工作。发现的主要问题及原因：一是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  <w:highlight w:val="none"/>
        </w:rPr>
        <w:t>各种</w:t>
      </w:r>
      <w:r>
        <w:rPr>
          <w:rFonts w:hint="default" w:ascii="Times New Roman" w:hAnsi="Times New Roman" w:eastAsia="仿宋_GB2312" w:cs="Times New Roman"/>
          <w:color w:val="000000"/>
          <w:spacing w:val="11"/>
          <w:sz w:val="32"/>
          <w:szCs w:val="32"/>
          <w:highlight w:val="none"/>
        </w:rPr>
        <w:t>预算</w:t>
      </w:r>
      <w:r>
        <w:rPr>
          <w:rFonts w:hint="eastAsia" w:ascii="Times New Roman" w:hAnsi="Times New Roman" w:eastAsia="仿宋_GB2312" w:cs="Times New Roman"/>
          <w:color w:val="000000"/>
          <w:spacing w:val="11"/>
          <w:sz w:val="32"/>
          <w:szCs w:val="32"/>
          <w:highlight w:val="none"/>
          <w:lang w:eastAsia="zh-CN"/>
        </w:rPr>
        <w:t>资金</w:t>
      </w:r>
      <w:r>
        <w:rPr>
          <w:rFonts w:hint="default" w:ascii="Times New Roman" w:hAnsi="Times New Roman" w:eastAsia="仿宋_GB2312" w:cs="Times New Roman"/>
          <w:color w:val="000000"/>
          <w:spacing w:val="11"/>
          <w:sz w:val="32"/>
          <w:szCs w:val="32"/>
          <w:highlight w:val="none"/>
        </w:rPr>
        <w:t>执行</w:t>
      </w:r>
      <w:r>
        <w:rPr>
          <w:rFonts w:hint="eastAsia" w:ascii="Times New Roman" w:hAnsi="Times New Roman" w:eastAsia="仿宋_GB2312" w:cs="Times New Roman"/>
          <w:color w:val="000000"/>
          <w:spacing w:val="11"/>
          <w:sz w:val="32"/>
          <w:szCs w:val="32"/>
          <w:highlight w:val="none"/>
          <w:lang w:eastAsia="zh-CN"/>
        </w:rPr>
        <w:t>率有待加强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；二是绩效管理水平有待提高。下一步改进措施：一是加强预算编制准确性，提高资金执行效率；二是从预算和预算绩效管理，部门履职效能，资金分配、使用和管理，资产和财务管理、政府采购等方面归纳存在的问题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（三）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存在的问题及原因分析</w:t>
      </w:r>
    </w:p>
    <w:p>
      <w:pPr>
        <w:spacing w:line="480" w:lineRule="auto"/>
        <w:ind w:firstLine="627" w:firstLineChars="196"/>
        <w:rPr>
          <w:rFonts w:ascii="仿宋_GB2312" w:eastAsia="仿宋_GB2312" w:cs="仿宋_GB2312"/>
          <w:bCs/>
          <w:sz w:val="32"/>
          <w:szCs w:val="32"/>
        </w:rPr>
      </w:pPr>
      <w:r>
        <w:rPr>
          <w:rFonts w:hint="eastAsia" w:ascii="仿宋_GB2312" w:eastAsia="仿宋_GB2312" w:cs="仿宋_GB2312"/>
          <w:bCs/>
          <w:sz w:val="32"/>
          <w:szCs w:val="32"/>
        </w:rPr>
        <w:t>细化预算编制工作，认真做好预算的编制。</w:t>
      </w:r>
    </w:p>
    <w:p>
      <w:pPr>
        <w:spacing w:line="480" w:lineRule="auto"/>
        <w:ind w:firstLine="627" w:firstLineChars="196"/>
        <w:rPr>
          <w:rFonts w:ascii="仿宋_GB2312" w:eastAsia="仿宋_GB2312" w:cs="仿宋_GB2312"/>
          <w:bCs/>
          <w:sz w:val="32"/>
          <w:szCs w:val="32"/>
        </w:rPr>
      </w:pPr>
      <w:r>
        <w:rPr>
          <w:rFonts w:hint="eastAsia" w:ascii="仿宋_GB2312" w:eastAsia="仿宋_GB2312" w:cs="仿宋_GB2312"/>
          <w:bCs/>
          <w:sz w:val="32"/>
          <w:szCs w:val="32"/>
        </w:rPr>
        <w:t>建立健全财政绩效评价指标体系，加强工作人员的业务培训和财政绩效管理信息化建设，加大绩效评价结果的运用。</w:t>
      </w:r>
    </w:p>
    <w:p>
      <w:pPr>
        <w:spacing w:line="480" w:lineRule="auto"/>
        <w:ind w:firstLine="627" w:firstLineChars="196"/>
        <w:rPr>
          <w:rFonts w:ascii="仿宋_GB2312" w:eastAsia="仿宋_GB2312" w:cs="仿宋_GB2312"/>
          <w:bCs/>
          <w:sz w:val="32"/>
          <w:szCs w:val="32"/>
        </w:rPr>
      </w:pPr>
      <w:r>
        <w:rPr>
          <w:rFonts w:hint="eastAsia" w:ascii="仿宋_GB2312" w:eastAsia="仿宋_GB2312" w:cs="仿宋_GB2312"/>
          <w:bCs/>
          <w:sz w:val="32"/>
          <w:szCs w:val="32"/>
        </w:rPr>
        <w:t>加大对从事绩效管理工作人员的培训和力度，提高认识，重点培训绩效监控管理工作流程、绩效指标、引举实例、解读政策、树立绩效理念和强化责任意识等。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预算绩效管理开展情况、绩效目标和绩效评价报告等，已在市政府部门财政预决算公开平台上向社会公开，详见附件。</w:t>
      </w:r>
    </w:p>
    <w:p>
      <w:pPr>
        <w:numPr>
          <w:ilvl w:val="0"/>
          <w:numId w:val="0"/>
        </w:numPr>
        <w:autoSpaceDE w:val="0"/>
        <w:autoSpaceDN w:val="0"/>
        <w:adjustRightInd w:val="0"/>
        <w:jc w:val="left"/>
        <w:rPr>
          <w:rFonts w:hint="eastAsia" w:ascii="楷体" w:hAnsi="楷体" w:eastAsia="楷体" w:cs="楷体"/>
          <w:b/>
          <w:bCs/>
          <w:i w:val="0"/>
          <w:iCs w:val="0"/>
          <w:color w:val="FF0000"/>
          <w:kern w:val="0"/>
          <w:sz w:val="36"/>
          <w:szCs w:val="36"/>
          <w:lang w:val="en-US" w:eastAsia="zh-CN"/>
        </w:rPr>
      </w:pPr>
    </w:p>
    <w:p>
      <w:pPr>
        <w:pStyle w:val="13"/>
        <w:jc w:val="both"/>
        <w:rPr>
          <w:sz w:val="72"/>
          <w:szCs w:val="72"/>
        </w:rPr>
      </w:pPr>
    </w:p>
    <w:p>
      <w:pPr>
        <w:pStyle w:val="13"/>
        <w:jc w:val="center"/>
        <w:rPr>
          <w:sz w:val="72"/>
          <w:szCs w:val="72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0"/>
          <w:szCs w:val="70"/>
          <w:lang w:eastAsia="zh-CN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0"/>
          <w:szCs w:val="70"/>
          <w:lang w:eastAsia="zh-CN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sz w:val="72"/>
          <w:szCs w:val="72"/>
        </w:rPr>
        <w:t>第四部分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70"/>
          <w:szCs w:val="70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0"/>
          <w:szCs w:val="70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70"/>
          <w:szCs w:val="70"/>
        </w:rPr>
        <w:t>名词解释</w:t>
      </w:r>
    </w:p>
    <w:p>
      <w:pPr>
        <w:pStyle w:val="8"/>
      </w:pPr>
    </w:p>
    <w:p>
      <w:pPr>
        <w:pStyle w:val="4"/>
      </w:pPr>
    </w:p>
    <w:p/>
    <w:p>
      <w:pPr>
        <w:pStyle w:val="8"/>
      </w:pPr>
    </w:p>
    <w:p>
      <w:pPr>
        <w:pStyle w:val="4"/>
      </w:pPr>
    </w:p>
    <w:p/>
    <w:p>
      <w:pPr>
        <w:pStyle w:val="8"/>
      </w:pPr>
    </w:p>
    <w:p>
      <w:pPr>
        <w:pStyle w:val="4"/>
      </w:pPr>
    </w:p>
    <w:p/>
    <w:p>
      <w:pPr>
        <w:pStyle w:val="8"/>
      </w:pPr>
    </w:p>
    <w:p>
      <w:pPr>
        <w:pStyle w:val="4"/>
      </w:pPr>
    </w:p>
    <w:p/>
    <w:p>
      <w:pPr>
        <w:pStyle w:val="8"/>
      </w:pPr>
    </w:p>
    <w:p>
      <w:pPr>
        <w:pStyle w:val="4"/>
      </w:pPr>
    </w:p>
    <w:p/>
    <w:p>
      <w:pPr>
        <w:pStyle w:val="8"/>
      </w:pPr>
    </w:p>
    <w:p>
      <w:pPr>
        <w:pStyle w:val="4"/>
      </w:pPr>
    </w:p>
    <w:p/>
    <w:p>
      <w:pPr>
        <w:pStyle w:val="8"/>
      </w:pPr>
    </w:p>
    <w:p>
      <w:pPr>
        <w:pStyle w:val="4"/>
      </w:pPr>
    </w:p>
    <w:p/>
    <w:p>
      <w:pPr>
        <w:pStyle w:val="8"/>
      </w:pPr>
    </w:p>
    <w:p>
      <w:pPr>
        <w:pStyle w:val="4"/>
      </w:pPr>
    </w:p>
    <w:p/>
    <w:p>
      <w:pPr>
        <w:pStyle w:val="8"/>
      </w:pPr>
    </w:p>
    <w:p>
      <w:pPr>
        <w:pStyle w:val="4"/>
      </w:pPr>
    </w:p>
    <w:p/>
    <w:p>
      <w:pPr>
        <w:pStyle w:val="8"/>
      </w:pPr>
    </w:p>
    <w:p>
      <w:pPr>
        <w:pStyle w:val="4"/>
      </w:pPr>
    </w:p>
    <w:p/>
    <w:p>
      <w:pPr>
        <w:pStyle w:val="8"/>
      </w:pPr>
    </w:p>
    <w:p>
      <w:pPr>
        <w:pStyle w:val="4"/>
      </w:pPr>
    </w:p>
    <w:p>
      <w:pPr>
        <w:pStyle w:val="4"/>
      </w:pPr>
    </w:p>
    <w:p/>
    <w:p>
      <w:pPr>
        <w:pStyle w:val="8"/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一、“三公”经费：指用财政拨款安排的因公出国（境）费、公务用车购置及运行费和公务接待费。其中，因公出国（境）费反映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二、机关运行经费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，指为保障行政单位（包括参照公务员法管理的事业单位）运行用于购买货物和服务的各项资金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，包括办公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费、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印刷费、邮电费、差旅费、会议费、日常维修费、专用材料及一般设备购置费、办公用房水电费、办公用房取暖费、办公用房物业管理费、公务用车运行维护费以及其他费用。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……</w:t>
      </w:r>
    </w:p>
    <w:p>
      <w:pPr>
        <w:pStyle w:val="4"/>
      </w:pPr>
    </w:p>
    <w:p/>
    <w:p>
      <w:pPr>
        <w:pStyle w:val="8"/>
      </w:pPr>
    </w:p>
    <w:p>
      <w:pPr>
        <w:pStyle w:val="4"/>
      </w:pPr>
    </w:p>
    <w:p/>
    <w:p>
      <w:pPr>
        <w:pStyle w:val="8"/>
      </w:pPr>
    </w:p>
    <w:p>
      <w:pPr>
        <w:pStyle w:val="4"/>
      </w:pPr>
    </w:p>
    <w:p/>
    <w:p>
      <w:pPr>
        <w:pStyle w:val="8"/>
      </w:pPr>
    </w:p>
    <w:p>
      <w:pPr>
        <w:pStyle w:val="4"/>
      </w:pPr>
    </w:p>
    <w:p/>
    <w:p>
      <w:pPr>
        <w:pStyle w:val="8"/>
      </w:pPr>
    </w:p>
    <w:p>
      <w:pPr>
        <w:pStyle w:val="4"/>
      </w:pPr>
    </w:p>
    <w:p/>
    <w:p>
      <w:pPr>
        <w:pStyle w:val="8"/>
      </w:pPr>
    </w:p>
    <w:p>
      <w:pPr>
        <w:pStyle w:val="4"/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  <w:r>
        <w:rPr>
          <w:rFonts w:hint="eastAsia" w:ascii="方正小标宋_GBK" w:hAnsi="方正小标宋_GBK" w:eastAsia="方正小标宋_GBK" w:cs="方正小标宋_GBK"/>
          <w:sz w:val="72"/>
          <w:szCs w:val="72"/>
        </w:rPr>
        <w:t>第</w:t>
      </w:r>
      <w:r>
        <w:rPr>
          <w:rFonts w:hint="eastAsia" w:ascii="方正小标宋_GBK" w:hAnsi="方正小标宋_GBK" w:eastAsia="方正小标宋_GBK" w:cs="方正小标宋_GBK"/>
          <w:sz w:val="72"/>
          <w:szCs w:val="72"/>
          <w:lang w:eastAsia="zh-CN"/>
        </w:rPr>
        <w:t>五</w:t>
      </w:r>
      <w:r>
        <w:rPr>
          <w:rFonts w:hint="eastAsia" w:ascii="方正小标宋_GBK" w:hAnsi="方正小标宋_GBK" w:eastAsia="方正小标宋_GBK" w:cs="方正小标宋_GBK"/>
          <w:sz w:val="72"/>
          <w:szCs w:val="72"/>
        </w:rPr>
        <w:t>部分</w:t>
      </w:r>
    </w:p>
    <w:p>
      <w:pPr>
        <w:pStyle w:val="13"/>
        <w:jc w:val="both"/>
        <w:rPr>
          <w:rFonts w:hint="eastAsia" w:ascii="方正小标宋_GBK" w:hAnsi="方正小标宋_GBK" w:eastAsia="方正小标宋_GBK" w:cs="方正小标宋_GBK"/>
          <w:sz w:val="70"/>
          <w:szCs w:val="70"/>
          <w:lang w:eastAsia="zh-CN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0"/>
          <w:szCs w:val="70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70"/>
          <w:szCs w:val="70"/>
          <w:lang w:eastAsia="zh-CN"/>
        </w:rPr>
        <w:t>附</w:t>
      </w:r>
      <w:r>
        <w:rPr>
          <w:rFonts w:hint="eastAsia" w:ascii="方正小标宋_GBK" w:hAnsi="方正小标宋_GBK" w:eastAsia="方正小标宋_GBK" w:cs="方正小标宋_GBK"/>
          <w:sz w:val="70"/>
          <w:szCs w:val="70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70"/>
          <w:szCs w:val="70"/>
          <w:lang w:eastAsia="zh-CN"/>
        </w:rPr>
        <w:t>件</w:t>
      </w:r>
    </w:p>
    <w:p>
      <w:pPr>
        <w:ind w:firstLine="640" w:firstLineChars="200"/>
        <w:jc w:val="left"/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  <w:t>1、2023年部门决算公开表格</w:t>
      </w:r>
    </w:p>
    <w:p>
      <w:pPr>
        <w:ind w:firstLine="640" w:firstLineChars="200"/>
        <w:jc w:val="left"/>
        <w:rPr>
          <w:rFonts w:ascii="宋体" w:hAnsi="宋体" w:eastAsia="宋体" w:cs="黑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  <w:t>2、</w:t>
      </w: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</w:rPr>
        <w:t>202</w:t>
      </w: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</w:rPr>
        <w:t>年度部门整体支出绩效评价报告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3518C1"/>
    <w:multiLevelType w:val="multilevel"/>
    <w:tmpl w:val="373518C1"/>
    <w:lvl w:ilvl="0" w:tentative="0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YzEwZTM1NDYyOGUzZmZlNGUyZDYwZjdkOWYxZWYifQ=="/>
    <w:docVar w:name="KSO_WPS_MARK_KEY" w:val="6ec2a8c4-3e8b-4c2b-a795-428239a88030"/>
  </w:docVars>
  <w:rsids>
    <w:rsidRoot w:val="004506F9"/>
    <w:rsid w:val="0002229B"/>
    <w:rsid w:val="000273BD"/>
    <w:rsid w:val="00040CBC"/>
    <w:rsid w:val="000415B7"/>
    <w:rsid w:val="00041E3F"/>
    <w:rsid w:val="00055DAA"/>
    <w:rsid w:val="00061F7B"/>
    <w:rsid w:val="000658A3"/>
    <w:rsid w:val="00074155"/>
    <w:rsid w:val="000A3F69"/>
    <w:rsid w:val="00103957"/>
    <w:rsid w:val="00152C6D"/>
    <w:rsid w:val="00162D39"/>
    <w:rsid w:val="001678BD"/>
    <w:rsid w:val="00182373"/>
    <w:rsid w:val="001A67DB"/>
    <w:rsid w:val="001C3C29"/>
    <w:rsid w:val="001D51E5"/>
    <w:rsid w:val="001E080D"/>
    <w:rsid w:val="001E53D0"/>
    <w:rsid w:val="001F0C3B"/>
    <w:rsid w:val="00202C82"/>
    <w:rsid w:val="00214427"/>
    <w:rsid w:val="00226CB7"/>
    <w:rsid w:val="00264552"/>
    <w:rsid w:val="00264EF9"/>
    <w:rsid w:val="00265724"/>
    <w:rsid w:val="0027426B"/>
    <w:rsid w:val="002E0A30"/>
    <w:rsid w:val="003130C4"/>
    <w:rsid w:val="00316C4B"/>
    <w:rsid w:val="0032192B"/>
    <w:rsid w:val="003479BD"/>
    <w:rsid w:val="0037197D"/>
    <w:rsid w:val="003768D5"/>
    <w:rsid w:val="003926B9"/>
    <w:rsid w:val="003C47E6"/>
    <w:rsid w:val="003C4FC2"/>
    <w:rsid w:val="00416E61"/>
    <w:rsid w:val="0042790C"/>
    <w:rsid w:val="004506F9"/>
    <w:rsid w:val="004717A2"/>
    <w:rsid w:val="00473DF3"/>
    <w:rsid w:val="00487911"/>
    <w:rsid w:val="00491741"/>
    <w:rsid w:val="004B0CEE"/>
    <w:rsid w:val="00500E5F"/>
    <w:rsid w:val="005122EF"/>
    <w:rsid w:val="0051441A"/>
    <w:rsid w:val="00517C33"/>
    <w:rsid w:val="00517D5F"/>
    <w:rsid w:val="00523644"/>
    <w:rsid w:val="0054069E"/>
    <w:rsid w:val="00544866"/>
    <w:rsid w:val="005767CC"/>
    <w:rsid w:val="00590D9F"/>
    <w:rsid w:val="00595D26"/>
    <w:rsid w:val="005A74E6"/>
    <w:rsid w:val="005B404E"/>
    <w:rsid w:val="005D4D55"/>
    <w:rsid w:val="005E2CFB"/>
    <w:rsid w:val="005F2103"/>
    <w:rsid w:val="005F3D1C"/>
    <w:rsid w:val="0062378F"/>
    <w:rsid w:val="00641842"/>
    <w:rsid w:val="00651EEC"/>
    <w:rsid w:val="00686673"/>
    <w:rsid w:val="00691E8C"/>
    <w:rsid w:val="006A22C4"/>
    <w:rsid w:val="006A351B"/>
    <w:rsid w:val="006B0422"/>
    <w:rsid w:val="006C1B53"/>
    <w:rsid w:val="006D7730"/>
    <w:rsid w:val="006E5284"/>
    <w:rsid w:val="006F3EB5"/>
    <w:rsid w:val="00702E34"/>
    <w:rsid w:val="00704395"/>
    <w:rsid w:val="00710FE7"/>
    <w:rsid w:val="00717621"/>
    <w:rsid w:val="00720FF1"/>
    <w:rsid w:val="00727A53"/>
    <w:rsid w:val="00787B42"/>
    <w:rsid w:val="007C4539"/>
    <w:rsid w:val="007F3657"/>
    <w:rsid w:val="00812ED5"/>
    <w:rsid w:val="008277D9"/>
    <w:rsid w:val="0084478C"/>
    <w:rsid w:val="0086638C"/>
    <w:rsid w:val="008A3E8D"/>
    <w:rsid w:val="009237C4"/>
    <w:rsid w:val="00944C48"/>
    <w:rsid w:val="00950252"/>
    <w:rsid w:val="00967F5D"/>
    <w:rsid w:val="009A0F95"/>
    <w:rsid w:val="009B3ADF"/>
    <w:rsid w:val="009C3B52"/>
    <w:rsid w:val="009E6817"/>
    <w:rsid w:val="009E6E9A"/>
    <w:rsid w:val="00A01D2B"/>
    <w:rsid w:val="00A42218"/>
    <w:rsid w:val="00A70249"/>
    <w:rsid w:val="00A70B02"/>
    <w:rsid w:val="00A71D9F"/>
    <w:rsid w:val="00A92E9F"/>
    <w:rsid w:val="00AB18FF"/>
    <w:rsid w:val="00B33BEA"/>
    <w:rsid w:val="00B57C9F"/>
    <w:rsid w:val="00B63572"/>
    <w:rsid w:val="00B845B3"/>
    <w:rsid w:val="00B85D8B"/>
    <w:rsid w:val="00BB4A40"/>
    <w:rsid w:val="00BD6C3E"/>
    <w:rsid w:val="00BE3674"/>
    <w:rsid w:val="00C10681"/>
    <w:rsid w:val="00C3049A"/>
    <w:rsid w:val="00C31B1E"/>
    <w:rsid w:val="00C77645"/>
    <w:rsid w:val="00CE04C3"/>
    <w:rsid w:val="00CE76A0"/>
    <w:rsid w:val="00D148C6"/>
    <w:rsid w:val="00D17A8A"/>
    <w:rsid w:val="00D415BA"/>
    <w:rsid w:val="00D63780"/>
    <w:rsid w:val="00D644EE"/>
    <w:rsid w:val="00DD06FF"/>
    <w:rsid w:val="00DD5FE9"/>
    <w:rsid w:val="00E00C7A"/>
    <w:rsid w:val="00E37D6C"/>
    <w:rsid w:val="00E55B68"/>
    <w:rsid w:val="00E561AE"/>
    <w:rsid w:val="00E67BE6"/>
    <w:rsid w:val="00E8683C"/>
    <w:rsid w:val="00EA2B72"/>
    <w:rsid w:val="00F74360"/>
    <w:rsid w:val="00FB462F"/>
    <w:rsid w:val="00FE16FA"/>
    <w:rsid w:val="00FE328A"/>
    <w:rsid w:val="00FE6269"/>
    <w:rsid w:val="00FF5CD6"/>
    <w:rsid w:val="042C4A18"/>
    <w:rsid w:val="043A0A9D"/>
    <w:rsid w:val="059958AD"/>
    <w:rsid w:val="0680104B"/>
    <w:rsid w:val="06D01B77"/>
    <w:rsid w:val="07AA2353"/>
    <w:rsid w:val="08F50329"/>
    <w:rsid w:val="098D610D"/>
    <w:rsid w:val="0A522CFE"/>
    <w:rsid w:val="0C6536A6"/>
    <w:rsid w:val="0DC80696"/>
    <w:rsid w:val="0E904C34"/>
    <w:rsid w:val="10207F73"/>
    <w:rsid w:val="12583BA5"/>
    <w:rsid w:val="13BA5B9C"/>
    <w:rsid w:val="1590743E"/>
    <w:rsid w:val="1A9633A4"/>
    <w:rsid w:val="1AB02267"/>
    <w:rsid w:val="1C857FFF"/>
    <w:rsid w:val="1D97DEFF"/>
    <w:rsid w:val="1DA50519"/>
    <w:rsid w:val="1DFF72E5"/>
    <w:rsid w:val="1E68798D"/>
    <w:rsid w:val="1EFC6F07"/>
    <w:rsid w:val="209D0D1F"/>
    <w:rsid w:val="22AC03C2"/>
    <w:rsid w:val="251E59E0"/>
    <w:rsid w:val="278D7C5E"/>
    <w:rsid w:val="29F64FFC"/>
    <w:rsid w:val="2A9D05C4"/>
    <w:rsid w:val="2AE17A5A"/>
    <w:rsid w:val="2EFA758F"/>
    <w:rsid w:val="2FDF85B8"/>
    <w:rsid w:val="2FFFEE04"/>
    <w:rsid w:val="31C95635"/>
    <w:rsid w:val="31CF2D03"/>
    <w:rsid w:val="32EC5D21"/>
    <w:rsid w:val="33226E62"/>
    <w:rsid w:val="33AC7B81"/>
    <w:rsid w:val="34DF85B0"/>
    <w:rsid w:val="35D57C1B"/>
    <w:rsid w:val="37304231"/>
    <w:rsid w:val="3B8F36BC"/>
    <w:rsid w:val="428C60A6"/>
    <w:rsid w:val="48C12F4D"/>
    <w:rsid w:val="491FF225"/>
    <w:rsid w:val="4A992A6C"/>
    <w:rsid w:val="4AEF3C13"/>
    <w:rsid w:val="4B1603D7"/>
    <w:rsid w:val="4FFD214C"/>
    <w:rsid w:val="5139389D"/>
    <w:rsid w:val="51A91E3F"/>
    <w:rsid w:val="52B1259E"/>
    <w:rsid w:val="52ED441F"/>
    <w:rsid w:val="5352765A"/>
    <w:rsid w:val="57460AC2"/>
    <w:rsid w:val="5777D4F5"/>
    <w:rsid w:val="59DD8326"/>
    <w:rsid w:val="5B8A5207"/>
    <w:rsid w:val="5DEF592A"/>
    <w:rsid w:val="5E7F4FE5"/>
    <w:rsid w:val="5FC6BB1E"/>
    <w:rsid w:val="5FF720F1"/>
    <w:rsid w:val="61405577"/>
    <w:rsid w:val="62B97D87"/>
    <w:rsid w:val="63B70D7D"/>
    <w:rsid w:val="65A27E70"/>
    <w:rsid w:val="67804688"/>
    <w:rsid w:val="67FF5C0B"/>
    <w:rsid w:val="68280048"/>
    <w:rsid w:val="688A4CB2"/>
    <w:rsid w:val="6BAA4A2F"/>
    <w:rsid w:val="6C4E084B"/>
    <w:rsid w:val="6EFC0924"/>
    <w:rsid w:val="6FA348AB"/>
    <w:rsid w:val="6FB74722"/>
    <w:rsid w:val="6FEF8B7E"/>
    <w:rsid w:val="6FFB253E"/>
    <w:rsid w:val="71A6591B"/>
    <w:rsid w:val="71F118FE"/>
    <w:rsid w:val="72B34E05"/>
    <w:rsid w:val="737D59BA"/>
    <w:rsid w:val="737F32B1"/>
    <w:rsid w:val="73FC663F"/>
    <w:rsid w:val="74292181"/>
    <w:rsid w:val="747B40EB"/>
    <w:rsid w:val="77C37683"/>
    <w:rsid w:val="79FF515B"/>
    <w:rsid w:val="7A3C635C"/>
    <w:rsid w:val="7C4B60AF"/>
    <w:rsid w:val="7CAD0B17"/>
    <w:rsid w:val="7D6C09D3"/>
    <w:rsid w:val="7E2E67E5"/>
    <w:rsid w:val="7E9E1962"/>
    <w:rsid w:val="7E9F11B4"/>
    <w:rsid w:val="7F37EC1E"/>
    <w:rsid w:val="7F7DCD9D"/>
    <w:rsid w:val="7F970A6F"/>
    <w:rsid w:val="7FC1FFF3"/>
    <w:rsid w:val="7FC69637"/>
    <w:rsid w:val="7FDF8620"/>
    <w:rsid w:val="7FFB242F"/>
    <w:rsid w:val="7FFDB408"/>
    <w:rsid w:val="7FFE4EEB"/>
    <w:rsid w:val="95FB2B98"/>
    <w:rsid w:val="9A639BC2"/>
    <w:rsid w:val="9FF7D786"/>
    <w:rsid w:val="ABBFB23D"/>
    <w:rsid w:val="C3B4DA5A"/>
    <w:rsid w:val="CBFF70E0"/>
    <w:rsid w:val="CFF50B82"/>
    <w:rsid w:val="CFFFAD89"/>
    <w:rsid w:val="DFFE359E"/>
    <w:rsid w:val="DFFE4FFD"/>
    <w:rsid w:val="EEABED75"/>
    <w:rsid w:val="F56FDF51"/>
    <w:rsid w:val="F6B69F17"/>
    <w:rsid w:val="F77F1D61"/>
    <w:rsid w:val="F7FED3A9"/>
    <w:rsid w:val="F8C9DB26"/>
    <w:rsid w:val="F97E8EAE"/>
    <w:rsid w:val="FB36E1A6"/>
    <w:rsid w:val="FB3BE134"/>
    <w:rsid w:val="FCFF4275"/>
    <w:rsid w:val="FD7FEEEA"/>
    <w:rsid w:val="FDFFB577"/>
    <w:rsid w:val="FEEA50FE"/>
    <w:rsid w:val="FF7D47A9"/>
    <w:rsid w:val="FFCF21CB"/>
    <w:rsid w:val="FFFF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line="360" w:lineRule="auto"/>
      <w:outlineLvl w:val="3"/>
    </w:pPr>
    <w:rPr>
      <w:rFonts w:ascii="Cambria" w:hAnsi="Cambria" w:eastAsia="仿宋" w:cs="Times New Roman"/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unhideWhenUsed/>
    <w:qFormat/>
    <w:uiPriority w:val="99"/>
    <w:pPr>
      <w:widowControl/>
      <w:spacing w:after="120"/>
      <w:ind w:left="420" w:leftChars="200"/>
      <w:jc w:val="left"/>
    </w:pPr>
    <w:rPr>
      <w:rFonts w:ascii="宋体" w:hAnsi="宋体" w:eastAsia="宋体" w:cs="宋体"/>
      <w:kern w:val="0"/>
      <w:sz w:val="24"/>
    </w:rPr>
  </w:style>
  <w:style w:type="paragraph" w:styleId="4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next w:val="4"/>
    <w:semiHidden/>
    <w:qFormat/>
    <w:uiPriority w:val="0"/>
    <w:pPr>
      <w:snapToGrid w:val="0"/>
      <w:jc w:val="left"/>
    </w:pPr>
    <w:rPr>
      <w:sz w:val="18"/>
      <w:szCs w:val="18"/>
    </w:rPr>
  </w:style>
  <w:style w:type="character" w:customStyle="1" w:styleId="11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qFormat/>
    <w:uiPriority w:val="99"/>
    <w:rPr>
      <w:sz w:val="18"/>
      <w:szCs w:val="18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6">
    <w:name w:val="font0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2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1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16</Pages>
  <Words>5310</Words>
  <Characters>5805</Characters>
  <Lines>63</Lines>
  <Paragraphs>18</Paragraphs>
  <TotalTime>91</TotalTime>
  <ScaleCrop>false</ScaleCrop>
  <LinksUpToDate>false</LinksUpToDate>
  <CharactersWithSpaces>5824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2020-07-08T02:32:00Z</dcterms:created>
  <dc:creator>李航 null</dc:creator>
  <cp:lastModifiedBy>妍</cp:lastModifiedBy>
  <cp:lastPrinted>2024-08-08T10:20:00Z</cp:lastPrinted>
  <dcterms:modified xsi:type="dcterms:W3CDTF">2025-07-28T02:52:19Z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98623D6660B449428EB8E073C6C952EA</vt:lpwstr>
  </property>
</Properties>
</file>